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8489" w14:textId="77777777" w:rsidR="00931834" w:rsidRPr="009B2137" w:rsidRDefault="00931834" w:rsidP="00771E3F">
      <w:pPr>
        <w:jc w:val="both"/>
        <w:rPr>
          <w:lang w:val="en-GB"/>
        </w:rPr>
      </w:pPr>
      <w:r w:rsidRPr="009B2137">
        <w:rPr>
          <w:b/>
          <w:bCs/>
          <w:lang w:val="en-GB"/>
        </w:rPr>
        <w:t>Proposal for a Thematic Network on Bridging the Gap Between Innovation and Adoption: Building the Foundations for Trusted AI and Virtual Human Twins in Health and Care</w:t>
      </w:r>
    </w:p>
    <w:p w14:paraId="433CE5B5" w14:textId="3B08D563" w:rsidR="00931834" w:rsidRPr="009B2137" w:rsidRDefault="00931834" w:rsidP="00771E3F">
      <w:pPr>
        <w:rPr>
          <w:lang w:val="en-GB"/>
        </w:rPr>
      </w:pPr>
      <w:r w:rsidRPr="009B2137">
        <w:rPr>
          <w:b/>
          <w:bCs/>
          <w:lang w:val="en-GB"/>
        </w:rPr>
        <w:t>Lead Organisation:</w:t>
      </w:r>
      <w:r w:rsidRPr="009B2137">
        <w:rPr>
          <w:lang w:val="en-GB"/>
        </w:rPr>
        <w:t xml:space="preserve"> Virtual Physiological Human Institute (VPHi) </w:t>
      </w:r>
      <w:r w:rsidRPr="009B2137">
        <w:rPr>
          <w:lang w:val="en-GB"/>
        </w:rPr>
        <w:br/>
      </w:r>
      <w:r w:rsidRPr="009B2137">
        <w:rPr>
          <w:b/>
          <w:bCs/>
          <w:lang w:val="en-GB"/>
        </w:rPr>
        <w:t>Contact Person:</w:t>
      </w:r>
      <w:r w:rsidRPr="009B2137">
        <w:rPr>
          <w:lang w:val="en-GB"/>
        </w:rPr>
        <w:t xml:space="preserve"> Dr. Liesbet Geris, </w:t>
      </w:r>
      <w:hyperlink r:id="rId8" w:history="1">
        <w:r w:rsidRPr="009B2137">
          <w:rPr>
            <w:rStyle w:val="Collegamentoipertestuale"/>
            <w:lang w:val="en-GB"/>
          </w:rPr>
          <w:t>director@vph-institute.org</w:t>
        </w:r>
      </w:hyperlink>
      <w:r w:rsidRPr="009B2137">
        <w:rPr>
          <w:lang w:val="en-GB"/>
        </w:rPr>
        <w:t xml:space="preserve"> </w:t>
      </w:r>
      <w:r w:rsidR="00E46016" w:rsidRPr="009B2137">
        <w:rPr>
          <w:lang w:val="en-GB"/>
        </w:rPr>
        <w:br/>
      </w:r>
      <w:r w:rsidRPr="009B2137">
        <w:rPr>
          <w:b/>
          <w:bCs/>
          <w:lang w:val="en-GB"/>
        </w:rPr>
        <w:t>Public Health Area:</w:t>
      </w:r>
      <w:r w:rsidRPr="009B2137">
        <w:rPr>
          <w:lang w:val="en-GB"/>
        </w:rPr>
        <w:t xml:space="preserve"> </w:t>
      </w:r>
      <w:r w:rsidR="00771E3F" w:rsidRPr="009B2137">
        <w:rPr>
          <w:lang w:val="en-GB"/>
        </w:rPr>
        <w:t xml:space="preserve">(3) </w:t>
      </w:r>
      <w:r w:rsidRPr="009B2137">
        <w:rPr>
          <w:lang w:val="en-GB"/>
        </w:rPr>
        <w:t>Bridging the Gap Between Innovation and Adoption: Building the Foundations for Trusted AI and Virtual Human Twins in Health and Care.</w:t>
      </w:r>
    </w:p>
    <w:p w14:paraId="193EB8C9" w14:textId="77777777" w:rsidR="00E46016" w:rsidRPr="009B2137" w:rsidRDefault="00931834" w:rsidP="00771E3F">
      <w:pPr>
        <w:shd w:val="clear" w:color="auto" w:fill="FAE2D5" w:themeFill="accent2" w:themeFillTint="33"/>
        <w:jc w:val="both"/>
        <w:rPr>
          <w:b/>
          <w:bCs/>
          <w:lang w:val="en-GB"/>
        </w:rPr>
      </w:pPr>
      <w:r w:rsidRPr="009B2137">
        <w:rPr>
          <w:b/>
          <w:bCs/>
          <w:lang w:val="en-GB"/>
        </w:rPr>
        <w:t>Scope of the Joint Statement</w:t>
      </w:r>
    </w:p>
    <w:p w14:paraId="254B7E66" w14:textId="5EAB51DC" w:rsidR="001D6D35" w:rsidRPr="009B2137" w:rsidRDefault="00931834" w:rsidP="00771E3F">
      <w:pPr>
        <w:jc w:val="both"/>
        <w:rPr>
          <w:lang w:val="en-GB"/>
        </w:rPr>
      </w:pPr>
      <w:r w:rsidRPr="009B2137">
        <w:rPr>
          <w:lang w:val="en-GB"/>
        </w:rPr>
        <w:t xml:space="preserve">The European Virtual Human Twin (VHT) initiative aims to revolutionise healthcare through personalised, comprehensive, and dynamic digital representations of individuals. Realising this ambitious vision necessitates addressing a myriad of technical, infrastructural, ethical, legal, and social implications. This Thematic Network proposes to develop a </w:t>
      </w:r>
      <w:r w:rsidRPr="009B2137">
        <w:rPr>
          <w:b/>
          <w:bCs/>
          <w:lang w:val="en-GB"/>
        </w:rPr>
        <w:t xml:space="preserve">Joint Statement, that extends and complements the existing </w:t>
      </w:r>
      <w:r w:rsidR="00591BA1" w:rsidRPr="009B2137">
        <w:rPr>
          <w:b/>
          <w:bCs/>
          <w:lang w:val="en-GB"/>
        </w:rPr>
        <w:t>VHT</w:t>
      </w:r>
      <w:r w:rsidRPr="009B2137">
        <w:rPr>
          <w:b/>
          <w:bCs/>
          <w:lang w:val="en-GB"/>
        </w:rPr>
        <w:t xml:space="preserve"> roadmap</w:t>
      </w:r>
      <w:r w:rsidR="00591BA1" w:rsidRPr="009B2137">
        <w:rPr>
          <w:lang w:val="en-GB"/>
        </w:rPr>
        <w:t xml:space="preserve"> developed during the EDITH CSA</w:t>
      </w:r>
      <w:r w:rsidRPr="009B2137">
        <w:rPr>
          <w:lang w:val="en-GB"/>
        </w:rPr>
        <w:t xml:space="preserve">. </w:t>
      </w:r>
    </w:p>
    <w:p w14:paraId="124533E3" w14:textId="4A75D3CF" w:rsidR="00931834" w:rsidRPr="009B2137" w:rsidRDefault="008D684B" w:rsidP="00771E3F">
      <w:pPr>
        <w:jc w:val="both"/>
        <w:rPr>
          <w:lang w:val="en-GB"/>
        </w:rPr>
      </w:pPr>
      <w:r w:rsidRPr="009B2137">
        <w:rPr>
          <w:lang w:val="en-GB"/>
        </w:rPr>
        <w:t xml:space="preserve">The Joint Statement will provide concrete recommendations to enhance the </w:t>
      </w:r>
      <w:r w:rsidRPr="009B2137">
        <w:rPr>
          <w:b/>
          <w:bCs/>
          <w:lang w:val="en-GB"/>
        </w:rPr>
        <w:t>transition from VHT innovation to widespread adoption</w:t>
      </w:r>
      <w:r w:rsidRPr="009B2137">
        <w:rPr>
          <w:lang w:val="en-GB"/>
        </w:rPr>
        <w:t xml:space="preserve"> by </w:t>
      </w:r>
      <w:r w:rsidR="005B75F7" w:rsidRPr="009B2137">
        <w:rPr>
          <w:lang w:val="en-GB"/>
        </w:rPr>
        <w:t>identifying</w:t>
      </w:r>
      <w:r w:rsidR="00931834" w:rsidRPr="009B2137">
        <w:rPr>
          <w:lang w:val="en-GB"/>
        </w:rPr>
        <w:t xml:space="preserve"> critical insights and practical challenges for policymakers, healthcare organisations, regulators, and </w:t>
      </w:r>
      <w:r w:rsidR="00FC6E73" w:rsidRPr="009B2137">
        <w:rPr>
          <w:lang w:val="en-GB"/>
        </w:rPr>
        <w:t>payers.</w:t>
      </w:r>
      <w:r w:rsidR="00FC6E73" w:rsidRPr="009B2137">
        <w:rPr>
          <w:b/>
          <w:bCs/>
          <w:lang w:val="en-GB"/>
        </w:rPr>
        <w:t xml:space="preserve"> </w:t>
      </w:r>
      <w:r w:rsidR="00931834" w:rsidRPr="009B2137">
        <w:rPr>
          <w:lang w:val="en-GB"/>
        </w:rPr>
        <w:t xml:space="preserve"> </w:t>
      </w:r>
      <w:r w:rsidR="005B75F7" w:rsidRPr="009B2137">
        <w:rPr>
          <w:lang w:val="en-GB"/>
        </w:rPr>
        <w:t>In addition, w</w:t>
      </w:r>
      <w:r w:rsidR="00931834" w:rsidRPr="009B2137">
        <w:rPr>
          <w:lang w:val="en-GB"/>
        </w:rPr>
        <w:t>e will delve deeper into the practical implications of</w:t>
      </w:r>
      <w:r w:rsidR="00931834" w:rsidRPr="009B2137">
        <w:rPr>
          <w:b/>
          <w:bCs/>
          <w:lang w:val="en-GB"/>
        </w:rPr>
        <w:t xml:space="preserve"> Artificial Intelligence (AI), </w:t>
      </w:r>
      <w:r w:rsidR="00931834" w:rsidRPr="009B2137">
        <w:rPr>
          <w:lang w:val="en-GB"/>
        </w:rPr>
        <w:t xml:space="preserve">identifying actionable strategies for its trusted and effective </w:t>
      </w:r>
      <w:r w:rsidR="00931834" w:rsidRPr="009B2137">
        <w:rPr>
          <w:b/>
          <w:bCs/>
          <w:lang w:val="en-GB"/>
        </w:rPr>
        <w:t>integration within the VHT ecosystem</w:t>
      </w:r>
      <w:r w:rsidR="00931834" w:rsidRPr="009B2137">
        <w:rPr>
          <w:lang w:val="en-GB"/>
        </w:rPr>
        <w:t xml:space="preserve">. This includes leveraging AI for data quality, resource integration, and knowledge discovery, while addressing biases, human oversight, trustworthiness, and explainability in AI systems. </w:t>
      </w:r>
    </w:p>
    <w:p w14:paraId="0650F7A4" w14:textId="77777777" w:rsidR="003737EA" w:rsidRPr="009B2137" w:rsidRDefault="00931834" w:rsidP="00771E3F">
      <w:pPr>
        <w:shd w:val="clear" w:color="auto" w:fill="FAE2D5" w:themeFill="accent2" w:themeFillTint="33"/>
        <w:jc w:val="both"/>
        <w:rPr>
          <w:lang w:val="en-GB"/>
        </w:rPr>
      </w:pPr>
      <w:r w:rsidRPr="009B2137">
        <w:rPr>
          <w:b/>
          <w:bCs/>
          <w:lang w:val="en-GB"/>
        </w:rPr>
        <w:t>Relevance of the Proposal and Synergy with Ongoing EU Actions</w:t>
      </w:r>
      <w:r w:rsidRPr="009B2137">
        <w:rPr>
          <w:lang w:val="en-GB"/>
        </w:rPr>
        <w:t xml:space="preserve"> </w:t>
      </w:r>
    </w:p>
    <w:p w14:paraId="0176A2A2" w14:textId="77777777" w:rsidR="00F2799B" w:rsidRPr="009B2137" w:rsidRDefault="006946F3" w:rsidP="00771E3F">
      <w:pPr>
        <w:jc w:val="both"/>
        <w:rPr>
          <w:lang w:val="en-GB"/>
        </w:rPr>
      </w:pPr>
      <w:r w:rsidRPr="009B2137">
        <w:rPr>
          <w:lang w:val="en-GB"/>
        </w:rPr>
        <w:t xml:space="preserve">The VHT initiative is highly relevant to current </w:t>
      </w:r>
      <w:r w:rsidRPr="009B2137">
        <w:rPr>
          <w:b/>
          <w:bCs/>
          <w:lang w:val="en-GB"/>
        </w:rPr>
        <w:t>global trends and European Union priorities</w:t>
      </w:r>
      <w:r w:rsidRPr="009B2137">
        <w:rPr>
          <w:lang w:val="en-GB"/>
        </w:rPr>
        <w:t>. Escalating healthcare costs and workforce shortages necessitate a shift towards more efficient systems, which the VHT can facilitate through prevention, early disease detection, and optimised treatment planning. There is also a growing imperative for personalised medicine, moving away from a 'one-size-fits-all' approach, which VHT can achieve by simulating treatment responses and providing a holistic view of patient health.</w:t>
      </w:r>
    </w:p>
    <w:p w14:paraId="26830BF5" w14:textId="55FB6166" w:rsidR="00367BF2" w:rsidRPr="009B2137" w:rsidRDefault="00AC069E" w:rsidP="00771E3F">
      <w:pPr>
        <w:jc w:val="both"/>
        <w:rPr>
          <w:lang w:val="en-GB"/>
        </w:rPr>
      </w:pPr>
      <w:r w:rsidRPr="009B2137">
        <w:rPr>
          <w:lang w:val="en-GB"/>
        </w:rPr>
        <w:t>Focusing on the VHT, t</w:t>
      </w:r>
      <w:r w:rsidR="00BD4066" w:rsidRPr="009B2137">
        <w:rPr>
          <w:lang w:val="en-GB"/>
        </w:rPr>
        <w:t>his thematic network</w:t>
      </w:r>
      <w:r w:rsidR="00F2799B" w:rsidRPr="009B2137">
        <w:rPr>
          <w:lang w:val="en-GB"/>
        </w:rPr>
        <w:t xml:space="preserve"> </w:t>
      </w:r>
      <w:r w:rsidR="00931834" w:rsidRPr="009B2137">
        <w:rPr>
          <w:lang w:val="en-GB"/>
        </w:rPr>
        <w:t xml:space="preserve">aligns seamlessly with the </w:t>
      </w:r>
      <w:r w:rsidR="00931834" w:rsidRPr="009B2137">
        <w:rPr>
          <w:b/>
          <w:bCs/>
          <w:lang w:val="en-GB"/>
        </w:rPr>
        <w:t>EU Digital Agenda</w:t>
      </w:r>
      <w:r w:rsidR="00931834" w:rsidRPr="009B2137">
        <w:rPr>
          <w:lang w:val="en-GB"/>
        </w:rPr>
        <w:t xml:space="preserve"> and investment in infrastructures like the European Health Data Space (EHDS). </w:t>
      </w:r>
      <w:r w:rsidR="00146851" w:rsidRPr="009B2137">
        <w:rPr>
          <w:lang w:val="en-GB"/>
        </w:rPr>
        <w:t xml:space="preserve">It also contributes to the realization of the </w:t>
      </w:r>
      <w:r w:rsidR="00146851" w:rsidRPr="009B2137">
        <w:rPr>
          <w:b/>
          <w:bCs/>
          <w:lang w:val="en-GB"/>
        </w:rPr>
        <w:t>EU4Health</w:t>
      </w:r>
      <w:r w:rsidR="00146851" w:rsidRPr="009B2137">
        <w:rPr>
          <w:lang w:val="en-GB"/>
        </w:rPr>
        <w:t xml:space="preserve"> goals, especially related to the focus areas of </w:t>
      </w:r>
      <w:r w:rsidR="009B381C" w:rsidRPr="009B2137">
        <w:rPr>
          <w:lang w:val="en-GB"/>
        </w:rPr>
        <w:t xml:space="preserve">protecting people and strengthening health systems. </w:t>
      </w:r>
      <w:r w:rsidR="00367BF2" w:rsidRPr="009B2137">
        <w:rPr>
          <w:lang w:val="en-GB"/>
        </w:rPr>
        <w:t xml:space="preserve">The </w:t>
      </w:r>
      <w:r w:rsidR="000735B8" w:rsidRPr="009B2137">
        <w:rPr>
          <w:lang w:val="en-GB"/>
        </w:rPr>
        <w:t>proposed thematic network</w:t>
      </w:r>
      <w:r w:rsidR="00367BF2" w:rsidRPr="009B2137">
        <w:rPr>
          <w:lang w:val="en-GB"/>
        </w:rPr>
        <w:t xml:space="preserve"> is designed to further elaborate on the opportunities provided by AI technologies</w:t>
      </w:r>
      <w:r w:rsidR="008F2CBA" w:rsidRPr="009B2137">
        <w:rPr>
          <w:lang w:val="en-GB"/>
        </w:rPr>
        <w:t>, AI factories, the GenAI4EU framework and its open innovation ecosystem</w:t>
      </w:r>
      <w:r w:rsidR="00E8175A" w:rsidRPr="009B2137">
        <w:rPr>
          <w:lang w:val="en-GB"/>
        </w:rPr>
        <w:t xml:space="preserve"> encompassed in</w:t>
      </w:r>
      <w:r w:rsidR="00367BF2" w:rsidRPr="009B2137">
        <w:rPr>
          <w:lang w:val="en-GB"/>
        </w:rPr>
        <w:t xml:space="preserve"> the EU’s ambitious </w:t>
      </w:r>
      <w:r w:rsidR="00367BF2" w:rsidRPr="009B2137">
        <w:rPr>
          <w:b/>
          <w:bCs/>
          <w:lang w:val="en-GB"/>
        </w:rPr>
        <w:t xml:space="preserve">AI strategy </w:t>
      </w:r>
      <w:r w:rsidR="00367BF2" w:rsidRPr="009B2137">
        <w:rPr>
          <w:lang w:val="en-GB"/>
        </w:rPr>
        <w:t>in the realization of the vision of the VHT.</w:t>
      </w:r>
      <w:r w:rsidR="00EF10EF" w:rsidRPr="009B2137">
        <w:rPr>
          <w:lang w:val="en-GB"/>
        </w:rPr>
        <w:t xml:space="preserve"> There are </w:t>
      </w:r>
      <w:r w:rsidR="00597F9E" w:rsidRPr="009B2137">
        <w:rPr>
          <w:lang w:val="en-GB"/>
        </w:rPr>
        <w:t xml:space="preserve">multiple discussion topics with a share interest between VHT and AI </w:t>
      </w:r>
      <w:r w:rsidR="0084705C" w:rsidRPr="009B2137">
        <w:rPr>
          <w:lang w:val="en-GB"/>
        </w:rPr>
        <w:t xml:space="preserve">initiatives, including </w:t>
      </w:r>
      <w:r w:rsidR="00EF10EF" w:rsidRPr="009B2137">
        <w:rPr>
          <w:lang w:val="en-GB"/>
        </w:rPr>
        <w:t>ethical considerations such as data ownership, algorithmic bias, trustworthiness, human oversight, and explainability of AI systems.</w:t>
      </w:r>
      <w:r w:rsidR="0084705C" w:rsidRPr="009B2137">
        <w:rPr>
          <w:lang w:val="en-GB"/>
        </w:rPr>
        <w:t xml:space="preserve"> </w:t>
      </w:r>
      <w:r w:rsidR="00367BF2" w:rsidRPr="009B2137">
        <w:rPr>
          <w:lang w:val="en-GB"/>
        </w:rPr>
        <w:t xml:space="preserve">Our </w:t>
      </w:r>
      <w:r w:rsidR="00C9637B" w:rsidRPr="009B2137">
        <w:rPr>
          <w:lang w:val="en-GB"/>
        </w:rPr>
        <w:t>Joint Statement</w:t>
      </w:r>
      <w:r w:rsidR="00367BF2" w:rsidRPr="009B2137">
        <w:rPr>
          <w:lang w:val="en-GB"/>
        </w:rPr>
        <w:t xml:space="preserve"> will contribute to practical implementation guidance for this evolving landscape.</w:t>
      </w:r>
    </w:p>
    <w:p w14:paraId="66B6F812" w14:textId="77777777" w:rsidR="003737EA" w:rsidRPr="009B2137" w:rsidRDefault="00931834" w:rsidP="00771E3F">
      <w:pPr>
        <w:shd w:val="clear" w:color="auto" w:fill="FAE2D5" w:themeFill="accent2" w:themeFillTint="33"/>
        <w:jc w:val="both"/>
        <w:rPr>
          <w:lang w:val="en-GB"/>
        </w:rPr>
      </w:pPr>
      <w:r w:rsidRPr="009B2137">
        <w:rPr>
          <w:b/>
          <w:bCs/>
          <w:lang w:val="en-GB"/>
        </w:rPr>
        <w:t>Objectives and How They Will Be Reached</w:t>
      </w:r>
      <w:r w:rsidRPr="009B2137">
        <w:rPr>
          <w:lang w:val="en-GB"/>
        </w:rPr>
        <w:t xml:space="preserve"> </w:t>
      </w:r>
    </w:p>
    <w:p w14:paraId="1C7E73E6" w14:textId="34D44833" w:rsidR="00F30221" w:rsidRPr="009B2137" w:rsidRDefault="00F30221" w:rsidP="00771E3F">
      <w:pPr>
        <w:jc w:val="both"/>
        <w:rPr>
          <w:lang w:val="en-GB"/>
        </w:rPr>
      </w:pPr>
      <w:r w:rsidRPr="009B2137">
        <w:rPr>
          <w:lang w:val="en-GB"/>
        </w:rPr>
        <w:t>Building on the foundational work of the EDITH CSA</w:t>
      </w:r>
      <w:r w:rsidR="005B4380" w:rsidRPr="009B2137">
        <w:rPr>
          <w:lang w:val="en-GB"/>
        </w:rPr>
        <w:t xml:space="preserve"> and the work of all partners</w:t>
      </w:r>
      <w:r w:rsidRPr="009B2137">
        <w:rPr>
          <w:lang w:val="en-GB"/>
        </w:rPr>
        <w:t xml:space="preserve">, our proposal ensures non-duplication by focusing on </w:t>
      </w:r>
      <w:r w:rsidRPr="009B2137">
        <w:rPr>
          <w:b/>
          <w:bCs/>
          <w:lang w:val="en-GB"/>
        </w:rPr>
        <w:t>enhancing stakeholder engagement to bridge innovation with adoption</w:t>
      </w:r>
      <w:r w:rsidRPr="009B2137">
        <w:rPr>
          <w:lang w:val="en-GB"/>
        </w:rPr>
        <w:t xml:space="preserve">. EDITH has already mapped the VHT ecosystem and identified stakeholder needs and expectations for a range of key stakeholders. This Thematic Network will extend this by </w:t>
      </w:r>
      <w:r w:rsidRPr="009B2137">
        <w:rPr>
          <w:i/>
          <w:iCs/>
          <w:lang w:val="en-GB"/>
        </w:rPr>
        <w:t>increasing the participation</w:t>
      </w:r>
      <w:r w:rsidRPr="009B2137">
        <w:rPr>
          <w:lang w:val="en-GB"/>
        </w:rPr>
        <w:t xml:space="preserve"> of specific stakeholders crucial for adoption</w:t>
      </w:r>
      <w:r w:rsidR="00EA0C67" w:rsidRPr="009B2137">
        <w:rPr>
          <w:lang w:val="en-GB"/>
        </w:rPr>
        <w:t xml:space="preserve"> and </w:t>
      </w:r>
      <w:r w:rsidR="00EA0C67" w:rsidRPr="009B2137">
        <w:rPr>
          <w:lang w:val="en-GB"/>
        </w:rPr>
        <w:lastRenderedPageBreak/>
        <w:t xml:space="preserve">expansion of the ecosystem, benefiting from </w:t>
      </w:r>
      <w:r w:rsidRPr="009B2137">
        <w:rPr>
          <w:lang w:val="en-GB"/>
        </w:rPr>
        <w:t xml:space="preserve">the amplification effect that is provided by the </w:t>
      </w:r>
      <w:r w:rsidR="00EA0C67" w:rsidRPr="009B2137">
        <w:rPr>
          <w:lang w:val="en-GB"/>
        </w:rPr>
        <w:t xml:space="preserve">official inclusion in the </w:t>
      </w:r>
      <w:r w:rsidRPr="009B2137">
        <w:rPr>
          <w:lang w:val="en-GB"/>
        </w:rPr>
        <w:t>Health Policy Platform</w:t>
      </w:r>
      <w:r w:rsidR="00EA0C67" w:rsidRPr="009B2137">
        <w:rPr>
          <w:lang w:val="en-GB"/>
        </w:rPr>
        <w:t xml:space="preserve"> thematic network webinar series</w:t>
      </w:r>
      <w:r w:rsidRPr="009B2137">
        <w:rPr>
          <w:lang w:val="en-GB"/>
        </w:rPr>
        <w:t>.</w:t>
      </w:r>
    </w:p>
    <w:p w14:paraId="5CADA3F5" w14:textId="667BD2AB" w:rsidR="00BB557F" w:rsidRPr="009B2137" w:rsidRDefault="00931834" w:rsidP="00771E3F">
      <w:pPr>
        <w:jc w:val="both"/>
        <w:rPr>
          <w:lang w:val="en-GB"/>
        </w:rPr>
      </w:pPr>
      <w:r w:rsidRPr="009B2137">
        <w:rPr>
          <w:lang w:val="en-GB"/>
        </w:rPr>
        <w:t xml:space="preserve">Our primary objective is to </w:t>
      </w:r>
      <w:r w:rsidRPr="009B2137">
        <w:rPr>
          <w:b/>
          <w:bCs/>
          <w:lang w:val="en-GB"/>
        </w:rPr>
        <w:t>bridge the gap between VHT innovation and widespread adoption</w:t>
      </w:r>
      <w:r w:rsidRPr="009B2137">
        <w:rPr>
          <w:lang w:val="en-GB"/>
        </w:rPr>
        <w:t xml:space="preserve"> by directly addressing the specific needs, concerns, and opportunities identified by key stakeholders</w:t>
      </w:r>
      <w:r w:rsidR="00D17003" w:rsidRPr="009B2137">
        <w:rPr>
          <w:lang w:val="en-GB"/>
        </w:rPr>
        <w:t xml:space="preserve">. </w:t>
      </w:r>
      <w:r w:rsidRPr="009B2137">
        <w:rPr>
          <w:lang w:val="en-GB"/>
        </w:rPr>
        <w:t>We will achieve this through</w:t>
      </w:r>
      <w:r w:rsidR="002D54EC" w:rsidRPr="009B2137">
        <w:rPr>
          <w:lang w:val="en-GB"/>
        </w:rPr>
        <w:t xml:space="preserve"> 3 steps</w:t>
      </w:r>
      <w:r w:rsidR="00BB557F" w:rsidRPr="009B2137">
        <w:rPr>
          <w:lang w:val="en-GB"/>
        </w:rPr>
        <w:t xml:space="preserve">: preparation, webinars and synthesis. </w:t>
      </w:r>
    </w:p>
    <w:p w14:paraId="6B2BF046" w14:textId="3B392BE4" w:rsidR="00BB557F" w:rsidRPr="009B2137" w:rsidRDefault="00BB557F" w:rsidP="00771E3F">
      <w:pPr>
        <w:jc w:val="both"/>
        <w:rPr>
          <w:b/>
          <w:bCs/>
          <w:color w:val="E97132" w:themeColor="accent2"/>
          <w:u w:val="single"/>
          <w:lang w:val="en-GB"/>
        </w:rPr>
      </w:pPr>
      <w:r w:rsidRPr="009B2137">
        <w:rPr>
          <w:b/>
          <w:bCs/>
          <w:color w:val="E97132" w:themeColor="accent2"/>
          <w:u w:val="single"/>
          <w:lang w:val="en-GB"/>
        </w:rPr>
        <w:t>Preparation phase</w:t>
      </w:r>
      <w:r w:rsidR="00CF683F" w:rsidRPr="009B2137">
        <w:rPr>
          <w:b/>
          <w:bCs/>
          <w:color w:val="E97132" w:themeColor="accent2"/>
          <w:u w:val="single"/>
          <w:lang w:val="en-GB"/>
        </w:rPr>
        <w:t>: targeted stakeholder engagement and dialogue</w:t>
      </w:r>
    </w:p>
    <w:p w14:paraId="2F846C20" w14:textId="36E14A58" w:rsidR="00931834" w:rsidRPr="009B2137" w:rsidRDefault="00B949F2" w:rsidP="00771E3F">
      <w:pPr>
        <w:numPr>
          <w:ilvl w:val="0"/>
          <w:numId w:val="19"/>
        </w:numPr>
        <w:jc w:val="both"/>
        <w:rPr>
          <w:lang w:val="en-GB"/>
        </w:rPr>
      </w:pPr>
      <w:r w:rsidRPr="009B2137">
        <w:rPr>
          <w:b/>
          <w:bCs/>
          <w:lang w:val="en-GB"/>
        </w:rPr>
        <w:t>Engagement and dialogue f</w:t>
      </w:r>
      <w:r w:rsidR="00D031F7" w:rsidRPr="009B2137">
        <w:rPr>
          <w:b/>
          <w:bCs/>
          <w:lang w:val="en-GB"/>
        </w:rPr>
        <w:t xml:space="preserve">ocused on </w:t>
      </w:r>
      <w:r w:rsidR="00603BEC" w:rsidRPr="009B2137">
        <w:rPr>
          <w:b/>
          <w:bCs/>
          <w:lang w:val="en-GB"/>
        </w:rPr>
        <w:t>facilitating path to adoption</w:t>
      </w:r>
      <w:r w:rsidRPr="009B2137">
        <w:rPr>
          <w:b/>
          <w:bCs/>
          <w:lang w:val="en-GB"/>
        </w:rPr>
        <w:t xml:space="preserve">: </w:t>
      </w:r>
      <w:r w:rsidRPr="009B2137">
        <w:rPr>
          <w:lang w:val="en-GB"/>
        </w:rPr>
        <w:t>w</w:t>
      </w:r>
      <w:r w:rsidR="00931834" w:rsidRPr="009B2137">
        <w:rPr>
          <w:lang w:val="en-GB"/>
        </w:rPr>
        <w:t xml:space="preserve">e will increase direct engagement with and facilitate dialogue among </w:t>
      </w:r>
      <w:r w:rsidRPr="009B2137">
        <w:rPr>
          <w:lang w:val="en-GB"/>
        </w:rPr>
        <w:t>several</w:t>
      </w:r>
      <w:r w:rsidR="00931834" w:rsidRPr="009B2137">
        <w:rPr>
          <w:lang w:val="en-GB"/>
        </w:rPr>
        <w:t xml:space="preserve"> </w:t>
      </w:r>
      <w:r w:rsidR="00532C7A">
        <w:rPr>
          <w:lang w:val="en-GB"/>
        </w:rPr>
        <w:t>key</w:t>
      </w:r>
      <w:r w:rsidR="00532C7A" w:rsidRPr="009B2137">
        <w:rPr>
          <w:lang w:val="en-GB"/>
        </w:rPr>
        <w:t xml:space="preserve"> </w:t>
      </w:r>
      <w:r w:rsidR="00931834" w:rsidRPr="009B2137">
        <w:rPr>
          <w:lang w:val="en-GB"/>
        </w:rPr>
        <w:t>stakeholders</w:t>
      </w:r>
      <w:r w:rsidRPr="009B2137">
        <w:rPr>
          <w:lang w:val="en-GB"/>
        </w:rPr>
        <w:t xml:space="preserve"> for </w:t>
      </w:r>
      <w:r w:rsidR="003440F4" w:rsidRPr="009B2137">
        <w:rPr>
          <w:lang w:val="en-GB"/>
        </w:rPr>
        <w:t>adoption</w:t>
      </w:r>
      <w:r w:rsidR="00603BEC" w:rsidRPr="009B2137">
        <w:rPr>
          <w:lang w:val="en-GB"/>
        </w:rPr>
        <w:t xml:space="preserve">. </w:t>
      </w:r>
      <w:r w:rsidR="0086163E">
        <w:rPr>
          <w:lang w:val="en-GB"/>
        </w:rPr>
        <w:t>C</w:t>
      </w:r>
      <w:r w:rsidR="008D31FA" w:rsidRPr="009B2137">
        <w:rPr>
          <w:lang w:val="en-GB"/>
        </w:rPr>
        <w:t xml:space="preserve">ritical stakeholders such as </w:t>
      </w:r>
      <w:r w:rsidR="00603BEC" w:rsidRPr="009B2137">
        <w:rPr>
          <w:lang w:val="en-GB"/>
        </w:rPr>
        <w:t xml:space="preserve">patients and practitioners have been extensively involved in the </w:t>
      </w:r>
      <w:r w:rsidR="00292887" w:rsidRPr="009B2137">
        <w:rPr>
          <w:lang w:val="en-GB"/>
        </w:rPr>
        <w:t>EDITH CSA and their views are already included in the roadmap</w:t>
      </w:r>
      <w:r w:rsidR="00603BEC" w:rsidRPr="009B2137">
        <w:rPr>
          <w:lang w:val="en-GB"/>
        </w:rPr>
        <w:t xml:space="preserve">. </w:t>
      </w:r>
      <w:r w:rsidR="00FC59F9">
        <w:rPr>
          <w:lang w:val="en-GB"/>
        </w:rPr>
        <w:t>Build</w:t>
      </w:r>
      <w:r w:rsidR="00C441F9">
        <w:rPr>
          <w:lang w:val="en-GB"/>
        </w:rPr>
        <w:t>ing</w:t>
      </w:r>
      <w:r w:rsidR="00FC59F9">
        <w:rPr>
          <w:lang w:val="en-GB"/>
        </w:rPr>
        <w:t xml:space="preserve"> on this, </w:t>
      </w:r>
      <w:r w:rsidR="00532C7A">
        <w:rPr>
          <w:lang w:val="en-GB"/>
        </w:rPr>
        <w:t xml:space="preserve">the </w:t>
      </w:r>
      <w:r w:rsidR="00FC59F9">
        <w:rPr>
          <w:lang w:val="en-GB"/>
        </w:rPr>
        <w:t>t</w:t>
      </w:r>
      <w:r w:rsidR="00676D88">
        <w:rPr>
          <w:lang w:val="en-GB"/>
        </w:rPr>
        <w:t xml:space="preserve">hematic network </w:t>
      </w:r>
      <w:r w:rsidR="00FC59F9">
        <w:rPr>
          <w:lang w:val="en-GB"/>
        </w:rPr>
        <w:t xml:space="preserve">cycle </w:t>
      </w:r>
      <w:r w:rsidR="00676D88">
        <w:rPr>
          <w:lang w:val="en-GB"/>
        </w:rPr>
        <w:t xml:space="preserve">would </w:t>
      </w:r>
      <w:r w:rsidR="00C441F9">
        <w:rPr>
          <w:lang w:val="en-GB"/>
        </w:rPr>
        <w:t xml:space="preserve">galvanize understanding, familiarity and engagement </w:t>
      </w:r>
      <w:r w:rsidR="00532C7A">
        <w:rPr>
          <w:lang w:val="en-GB"/>
        </w:rPr>
        <w:t>with</w:t>
      </w:r>
      <w:r w:rsidR="00FD2049">
        <w:rPr>
          <w:lang w:val="en-GB"/>
        </w:rPr>
        <w:t xml:space="preserve"> the entire health </w:t>
      </w:r>
      <w:r w:rsidR="00532C7A">
        <w:rPr>
          <w:lang w:val="en-GB"/>
        </w:rPr>
        <w:t>ecosystem, focusing on the following stakeholder:</w:t>
      </w:r>
      <w:r w:rsidR="00931834" w:rsidRPr="009B2137">
        <w:rPr>
          <w:lang w:val="en-GB"/>
        </w:rPr>
        <w:t xml:space="preserve"> </w:t>
      </w:r>
    </w:p>
    <w:p w14:paraId="0634C465" w14:textId="57616B39" w:rsidR="00931834" w:rsidRPr="009B2137" w:rsidRDefault="00931834" w:rsidP="00771E3F">
      <w:pPr>
        <w:numPr>
          <w:ilvl w:val="1"/>
          <w:numId w:val="19"/>
        </w:numPr>
        <w:jc w:val="both"/>
        <w:rPr>
          <w:lang w:val="en-GB"/>
        </w:rPr>
      </w:pPr>
      <w:r w:rsidRPr="009B2137">
        <w:rPr>
          <w:b/>
          <w:bCs/>
          <w:lang w:val="en-GB"/>
        </w:rPr>
        <w:t>Policymakers:</w:t>
      </w:r>
      <w:r w:rsidRPr="009B2137">
        <w:rPr>
          <w:lang w:val="en-GB"/>
        </w:rPr>
        <w:t xml:space="preserve"> </w:t>
      </w:r>
      <w:r w:rsidR="00337410" w:rsidRPr="009B2137">
        <w:rPr>
          <w:lang w:val="en-GB"/>
        </w:rPr>
        <w:t>f</w:t>
      </w:r>
      <w:r w:rsidRPr="009B2137">
        <w:rPr>
          <w:lang w:val="en-GB"/>
        </w:rPr>
        <w:t>ocus on legislative clarity, effective implementation of the AI Act and EHDS, and securing long-term funding for VHT development and adoption across Member States. We will identify how AI Factories and other EU initiatives can best support VHT adoption at national levels.</w:t>
      </w:r>
    </w:p>
    <w:p w14:paraId="315F1615" w14:textId="0643BEAE" w:rsidR="00931834" w:rsidRPr="009B2137" w:rsidRDefault="00931834" w:rsidP="00771E3F">
      <w:pPr>
        <w:numPr>
          <w:ilvl w:val="1"/>
          <w:numId w:val="19"/>
        </w:numPr>
        <w:jc w:val="both"/>
        <w:rPr>
          <w:lang w:val="en-GB"/>
        </w:rPr>
      </w:pPr>
      <w:r w:rsidRPr="009B2137">
        <w:rPr>
          <w:b/>
          <w:bCs/>
          <w:lang w:val="en-GB"/>
        </w:rPr>
        <w:t>Healthcare Organisations/Providers:</w:t>
      </w:r>
      <w:r w:rsidRPr="009B2137">
        <w:rPr>
          <w:lang w:val="en-GB"/>
        </w:rPr>
        <w:t xml:space="preserve"> </w:t>
      </w:r>
      <w:r w:rsidR="00337410" w:rsidRPr="009B2137">
        <w:rPr>
          <w:lang w:val="en-GB"/>
        </w:rPr>
        <w:t>a</w:t>
      </w:r>
      <w:r w:rsidRPr="009B2137">
        <w:rPr>
          <w:lang w:val="en-GB"/>
        </w:rPr>
        <w:t>ddress challenges in integrating user-friendly VHT/AI solutions into clinical workflows, focusing on practical training, ensuring data quality, and maintaining human oversight. We will explore how AI can enhance clinical decision support systems and personal health forecasting tools.</w:t>
      </w:r>
    </w:p>
    <w:p w14:paraId="27DEF0BB" w14:textId="3909B7C8" w:rsidR="00931834" w:rsidRPr="009B2137" w:rsidRDefault="00931834" w:rsidP="00771E3F">
      <w:pPr>
        <w:numPr>
          <w:ilvl w:val="1"/>
          <w:numId w:val="19"/>
        </w:numPr>
        <w:jc w:val="both"/>
        <w:rPr>
          <w:lang w:val="en-GB"/>
        </w:rPr>
      </w:pPr>
      <w:r w:rsidRPr="009B2137">
        <w:rPr>
          <w:b/>
          <w:bCs/>
          <w:lang w:val="en-GB"/>
        </w:rPr>
        <w:t>Payers (</w:t>
      </w:r>
      <w:r w:rsidR="000D2836" w:rsidRPr="00532C7A">
        <w:rPr>
          <w:b/>
          <w:bCs/>
          <w:lang w:val="en-GB"/>
        </w:rPr>
        <w:t xml:space="preserve">Health systems, </w:t>
      </w:r>
      <w:r w:rsidRPr="00532C7A">
        <w:rPr>
          <w:b/>
          <w:bCs/>
          <w:lang w:val="en-GB"/>
        </w:rPr>
        <w:t>Insurers</w:t>
      </w:r>
      <w:r w:rsidRPr="009B2137">
        <w:rPr>
          <w:b/>
          <w:bCs/>
          <w:lang w:val="en-GB"/>
        </w:rPr>
        <w:t>) &amp; HTA Agencies:</w:t>
      </w:r>
      <w:r w:rsidRPr="009B2137">
        <w:rPr>
          <w:lang w:val="en-GB"/>
        </w:rPr>
        <w:t xml:space="preserve"> </w:t>
      </w:r>
      <w:r w:rsidR="00337410" w:rsidRPr="009B2137">
        <w:rPr>
          <w:lang w:val="en-GB"/>
        </w:rPr>
        <w:t>c</w:t>
      </w:r>
      <w:r w:rsidRPr="009B2137">
        <w:rPr>
          <w:lang w:val="en-GB"/>
        </w:rPr>
        <w:t>oncentrate on robust evidence generation for VHT/AI value and fair reimbursement mechanisms, including strategies for assessing self-learning AI models and ensuring explainability. We will explore innovative payment and procurement models that account for the evolving nature of AI in VHT.</w:t>
      </w:r>
    </w:p>
    <w:p w14:paraId="2EC60C41" w14:textId="328AC508" w:rsidR="00931834" w:rsidRPr="009B2137" w:rsidRDefault="00931834" w:rsidP="00771E3F">
      <w:pPr>
        <w:numPr>
          <w:ilvl w:val="1"/>
          <w:numId w:val="19"/>
        </w:numPr>
        <w:jc w:val="both"/>
        <w:rPr>
          <w:lang w:val="en-GB"/>
        </w:rPr>
      </w:pPr>
      <w:r w:rsidRPr="009B2137">
        <w:rPr>
          <w:b/>
          <w:bCs/>
          <w:lang w:val="en-GB"/>
        </w:rPr>
        <w:t>Regulators:</w:t>
      </w:r>
      <w:r w:rsidRPr="009B2137">
        <w:rPr>
          <w:lang w:val="en-GB"/>
        </w:rPr>
        <w:t xml:space="preserve"> </w:t>
      </w:r>
      <w:r w:rsidR="00585C2C" w:rsidRPr="009B2137">
        <w:rPr>
          <w:lang w:val="en-GB"/>
        </w:rPr>
        <w:t xml:space="preserve">continue to keep track of initiatives related to the </w:t>
      </w:r>
      <w:r w:rsidR="00337410" w:rsidRPr="009B2137">
        <w:rPr>
          <w:lang w:val="en-GB"/>
        </w:rPr>
        <w:t>d</w:t>
      </w:r>
      <w:r w:rsidRPr="009B2137">
        <w:rPr>
          <w:lang w:val="en-GB"/>
        </w:rPr>
        <w:t>evelop</w:t>
      </w:r>
      <w:r w:rsidR="00585C2C" w:rsidRPr="009B2137">
        <w:rPr>
          <w:lang w:val="en-GB"/>
        </w:rPr>
        <w:t>ment of</w:t>
      </w:r>
      <w:r w:rsidRPr="009B2137">
        <w:rPr>
          <w:lang w:val="en-GB"/>
        </w:rPr>
        <w:t xml:space="preserve"> clear guidelines and credible assessment frameworks (e.g.,</w:t>
      </w:r>
      <w:r w:rsidR="00C96F13" w:rsidRPr="009B2137">
        <w:rPr>
          <w:lang w:val="en-GB"/>
        </w:rPr>
        <w:t xml:space="preserve"> work of</w:t>
      </w:r>
      <w:r w:rsidRPr="009B2137">
        <w:rPr>
          <w:lang w:val="en-GB"/>
        </w:rPr>
        <w:t xml:space="preserve"> </w:t>
      </w:r>
      <w:r w:rsidR="00C96F13" w:rsidRPr="009B2137">
        <w:rPr>
          <w:lang w:val="en-GB"/>
        </w:rPr>
        <w:t>ISO-IEC TC</w:t>
      </w:r>
      <w:r w:rsidR="00C36E94" w:rsidRPr="009B2137">
        <w:rPr>
          <w:lang w:val="en-GB"/>
        </w:rPr>
        <w:t>6</w:t>
      </w:r>
      <w:r w:rsidR="00C96F13" w:rsidRPr="009B2137">
        <w:rPr>
          <w:lang w:val="en-GB"/>
        </w:rPr>
        <w:t>2</w:t>
      </w:r>
      <w:r w:rsidR="00C36E94" w:rsidRPr="009B2137">
        <w:rPr>
          <w:lang w:val="en-GB"/>
        </w:rPr>
        <w:t xml:space="preserve"> ahG11</w:t>
      </w:r>
      <w:r w:rsidRPr="009B2137">
        <w:rPr>
          <w:lang w:val="en-GB"/>
        </w:rPr>
        <w:t>) for safe, effective, and compliant VHTs throughout their lifecycle, aligning with the EU AI Act's risk-based approach. We will address challenges related to the "</w:t>
      </w:r>
      <w:r w:rsidRPr="00532C7A">
        <w:rPr>
          <w:lang w:val="en-GB"/>
        </w:rPr>
        <w:t>black box" nature of some AI systems in regulatory contexts</w:t>
      </w:r>
      <w:r w:rsidR="001E18AE" w:rsidRPr="00532C7A">
        <w:rPr>
          <w:lang w:val="en-GB"/>
        </w:rPr>
        <w:t xml:space="preserve">, </w:t>
      </w:r>
      <w:r w:rsidR="003A35BB" w:rsidRPr="00532C7A">
        <w:rPr>
          <w:lang w:val="en-GB"/>
        </w:rPr>
        <w:t xml:space="preserve">while leveraging knowledge-based VHT models </w:t>
      </w:r>
      <w:r w:rsidR="0035501D" w:rsidRPr="00532C7A">
        <w:rPr>
          <w:lang w:val="en-GB"/>
        </w:rPr>
        <w:t>as a</w:t>
      </w:r>
      <w:r w:rsidR="003A35BB" w:rsidRPr="00532C7A">
        <w:rPr>
          <w:lang w:val="en-GB"/>
        </w:rPr>
        <w:t xml:space="preserve"> </w:t>
      </w:r>
      <w:r w:rsidR="00BA37F9" w:rsidRPr="00532C7A">
        <w:rPr>
          <w:lang w:val="en-GB"/>
        </w:rPr>
        <w:t>compliment</w:t>
      </w:r>
      <w:r w:rsidR="0035501D" w:rsidRPr="00532C7A">
        <w:rPr>
          <w:lang w:val="en-GB"/>
        </w:rPr>
        <w:t xml:space="preserve">ary modelling </w:t>
      </w:r>
      <w:r w:rsidR="009F501A" w:rsidRPr="00532C7A">
        <w:rPr>
          <w:lang w:val="en-GB"/>
        </w:rPr>
        <w:t>approach</w:t>
      </w:r>
      <w:r w:rsidRPr="00532C7A">
        <w:rPr>
          <w:lang w:val="en-GB"/>
        </w:rPr>
        <w:t>.</w:t>
      </w:r>
    </w:p>
    <w:p w14:paraId="39BD84DC" w14:textId="77777777" w:rsidR="00532C7A" w:rsidRDefault="001760A6" w:rsidP="00CE56D6">
      <w:pPr>
        <w:jc w:val="both"/>
        <w:rPr>
          <w:lang w:val="en-GB"/>
        </w:rPr>
      </w:pPr>
      <w:r w:rsidRPr="009B2137">
        <w:rPr>
          <w:b/>
          <w:bCs/>
          <w:lang w:val="en-GB"/>
        </w:rPr>
        <w:t xml:space="preserve">Engagement and </w:t>
      </w:r>
      <w:r w:rsidR="003440F4" w:rsidRPr="009B2137">
        <w:rPr>
          <w:b/>
          <w:bCs/>
          <w:lang w:val="en-GB"/>
        </w:rPr>
        <w:t>d</w:t>
      </w:r>
      <w:r w:rsidRPr="009B2137">
        <w:rPr>
          <w:b/>
          <w:bCs/>
          <w:lang w:val="en-GB"/>
        </w:rPr>
        <w:t>ialogue focused on increasing participation</w:t>
      </w:r>
      <w:r w:rsidR="003440F4" w:rsidRPr="009B2137">
        <w:rPr>
          <w:b/>
          <w:bCs/>
          <w:lang w:val="en-GB"/>
        </w:rPr>
        <w:t>:</w:t>
      </w:r>
      <w:r w:rsidRPr="009B2137">
        <w:rPr>
          <w:lang w:val="en-GB"/>
        </w:rPr>
        <w:t xml:space="preserve"> </w:t>
      </w:r>
      <w:r w:rsidR="003440F4" w:rsidRPr="009B2137">
        <w:rPr>
          <w:lang w:val="en-GB"/>
        </w:rPr>
        <w:t>w</w:t>
      </w:r>
      <w:r w:rsidRPr="009B2137">
        <w:rPr>
          <w:lang w:val="en-GB"/>
        </w:rPr>
        <w:t xml:space="preserve">e will increase direct engagement with and facilitate dialogue among the </w:t>
      </w:r>
      <w:proofErr w:type="gramStart"/>
      <w:r w:rsidR="00B2607E" w:rsidRPr="009B2137">
        <w:rPr>
          <w:lang w:val="en-GB"/>
        </w:rPr>
        <w:t>stakeholders</w:t>
      </w:r>
      <w:proofErr w:type="gramEnd"/>
      <w:r w:rsidR="00B2607E" w:rsidRPr="009B2137">
        <w:rPr>
          <w:lang w:val="en-GB"/>
        </w:rPr>
        <w:t xml:space="preserve"> representing </w:t>
      </w:r>
      <w:r w:rsidR="0025655E" w:rsidRPr="009B2137">
        <w:rPr>
          <w:lang w:val="en-GB"/>
        </w:rPr>
        <w:t>projects, communities and initiatives</w:t>
      </w:r>
      <w:r w:rsidR="00B2607E" w:rsidRPr="009B2137">
        <w:rPr>
          <w:lang w:val="en-GB"/>
        </w:rPr>
        <w:t xml:space="preserve"> focusing on data collection and </w:t>
      </w:r>
      <w:r w:rsidR="0025655E" w:rsidRPr="009B2137">
        <w:rPr>
          <w:lang w:val="en-GB"/>
        </w:rPr>
        <w:t>AI</w:t>
      </w:r>
      <w:r w:rsidR="00B2607E" w:rsidRPr="009B2137">
        <w:rPr>
          <w:lang w:val="en-GB"/>
        </w:rPr>
        <w:t xml:space="preserve"> technologies</w:t>
      </w:r>
      <w:r w:rsidR="0025655E" w:rsidRPr="009B2137">
        <w:rPr>
          <w:lang w:val="en-GB"/>
        </w:rPr>
        <w:t xml:space="preserve">. This includes systems biology initiatives such as the Human Cell Atlas, European communities such as the European Society for Cardiology, and European Initiatives such as the European Cancer Imaging Initiative. </w:t>
      </w:r>
    </w:p>
    <w:p w14:paraId="474B2CDD" w14:textId="0ED919C0" w:rsidR="001760A6" w:rsidRPr="009B2137" w:rsidRDefault="001324F3" w:rsidP="00CE56D6">
      <w:pPr>
        <w:jc w:val="both"/>
        <w:rPr>
          <w:b/>
          <w:bCs/>
          <w:color w:val="E97132" w:themeColor="accent2"/>
          <w:u w:val="single"/>
          <w:lang w:val="en-GB"/>
        </w:rPr>
      </w:pPr>
      <w:r w:rsidRPr="009B2137">
        <w:rPr>
          <w:b/>
          <w:bCs/>
          <w:color w:val="E97132" w:themeColor="accent2"/>
          <w:u w:val="single"/>
          <w:lang w:val="en-GB"/>
        </w:rPr>
        <w:t>Webinar</w:t>
      </w:r>
      <w:r w:rsidR="00AB24F0" w:rsidRPr="009B2137">
        <w:rPr>
          <w:b/>
          <w:bCs/>
          <w:color w:val="E97132" w:themeColor="accent2"/>
          <w:u w:val="single"/>
          <w:lang w:val="en-GB"/>
        </w:rPr>
        <w:t>s</w:t>
      </w:r>
      <w:r w:rsidRPr="009B2137">
        <w:rPr>
          <w:b/>
          <w:bCs/>
          <w:color w:val="E97132" w:themeColor="accent2"/>
          <w:u w:val="single"/>
          <w:lang w:val="en-GB"/>
        </w:rPr>
        <w:t xml:space="preserve"> </w:t>
      </w:r>
    </w:p>
    <w:p w14:paraId="1704D5CD" w14:textId="77777777" w:rsidR="00ED4BE2" w:rsidRPr="009B2137" w:rsidRDefault="00931834" w:rsidP="00ED4BE2">
      <w:pPr>
        <w:jc w:val="both"/>
        <w:rPr>
          <w:lang w:val="en-GB"/>
        </w:rPr>
      </w:pPr>
      <w:r w:rsidRPr="009B2137">
        <w:rPr>
          <w:lang w:val="en-GB"/>
        </w:rPr>
        <w:t xml:space="preserve">Leveraging the experience from </w:t>
      </w:r>
      <w:r w:rsidR="00AB24F0" w:rsidRPr="009B2137">
        <w:rPr>
          <w:lang w:val="en-GB"/>
        </w:rPr>
        <w:t>the aforementioned preparations</w:t>
      </w:r>
      <w:r w:rsidR="00F33EA0" w:rsidRPr="009B2137">
        <w:rPr>
          <w:lang w:val="en-GB"/>
        </w:rPr>
        <w:t>, b</w:t>
      </w:r>
      <w:r w:rsidR="00AB24F0" w:rsidRPr="009B2137">
        <w:rPr>
          <w:lang w:val="en-GB"/>
        </w:rPr>
        <w:t xml:space="preserve">uilding on the </w:t>
      </w:r>
      <w:r w:rsidR="00206404" w:rsidRPr="009B2137">
        <w:rPr>
          <w:lang w:val="en-GB"/>
        </w:rPr>
        <w:t xml:space="preserve">EDITH work, </w:t>
      </w:r>
      <w:r w:rsidR="00F33EA0" w:rsidRPr="009B2137">
        <w:rPr>
          <w:lang w:val="en-GB"/>
        </w:rPr>
        <w:t>and drawing on lessons learned from previous EU Health Policy Platform webinars</w:t>
      </w:r>
      <w:r w:rsidR="008A0054" w:rsidRPr="009B2137">
        <w:rPr>
          <w:lang w:val="en-GB"/>
        </w:rPr>
        <w:t>,</w:t>
      </w:r>
      <w:r w:rsidR="00F33EA0" w:rsidRPr="009B2137">
        <w:rPr>
          <w:lang w:val="en-GB"/>
        </w:rPr>
        <w:t xml:space="preserve"> </w:t>
      </w:r>
      <w:r w:rsidRPr="009B2137">
        <w:rPr>
          <w:lang w:val="en-GB"/>
        </w:rPr>
        <w:t xml:space="preserve">we will </w:t>
      </w:r>
      <w:r w:rsidRPr="009B2137">
        <w:rPr>
          <w:lang w:val="en-GB"/>
        </w:rPr>
        <w:lastRenderedPageBreak/>
        <w:t xml:space="preserve">organise </w:t>
      </w:r>
      <w:r w:rsidR="00206404" w:rsidRPr="009B2137">
        <w:rPr>
          <w:lang w:val="en-GB"/>
        </w:rPr>
        <w:t xml:space="preserve">2 </w:t>
      </w:r>
      <w:r w:rsidRPr="009B2137">
        <w:rPr>
          <w:lang w:val="en-GB"/>
        </w:rPr>
        <w:t>tailored virtual interactive webinars</w:t>
      </w:r>
      <w:r w:rsidR="00FB1D8F" w:rsidRPr="009B2137">
        <w:rPr>
          <w:lang w:val="en-GB"/>
        </w:rPr>
        <w:t xml:space="preserve">. The target audience the entire </w:t>
      </w:r>
      <w:r w:rsidR="00AA7615" w:rsidRPr="009B2137">
        <w:rPr>
          <w:lang w:val="en-GB"/>
        </w:rPr>
        <w:t xml:space="preserve">VHT </w:t>
      </w:r>
      <w:r w:rsidR="00FB1D8F" w:rsidRPr="009B2137">
        <w:rPr>
          <w:lang w:val="en-GB"/>
        </w:rPr>
        <w:t>ecosystem</w:t>
      </w:r>
      <w:r w:rsidR="00AA7615" w:rsidRPr="009B2137">
        <w:rPr>
          <w:lang w:val="en-GB"/>
        </w:rPr>
        <w:t xml:space="preserve">, with a particular </w:t>
      </w:r>
      <w:r w:rsidR="00FE6201" w:rsidRPr="009B2137">
        <w:rPr>
          <w:lang w:val="en-GB"/>
        </w:rPr>
        <w:t>call for attendance</w:t>
      </w:r>
      <w:r w:rsidR="00AA7615" w:rsidRPr="009B2137">
        <w:rPr>
          <w:lang w:val="en-GB"/>
        </w:rPr>
        <w:t xml:space="preserve"> towards the organisations involved in </w:t>
      </w:r>
      <w:r w:rsidR="00FE6201" w:rsidRPr="009B2137">
        <w:rPr>
          <w:lang w:val="en-GB"/>
        </w:rPr>
        <w:t xml:space="preserve">the preparation phase. </w:t>
      </w:r>
    </w:p>
    <w:p w14:paraId="50114941" w14:textId="1B559A87" w:rsidR="00ED4BE2" w:rsidRPr="009B2137" w:rsidRDefault="00ED4BE2" w:rsidP="00ED4BE2">
      <w:pPr>
        <w:pStyle w:val="Paragrafoelenco"/>
        <w:numPr>
          <w:ilvl w:val="0"/>
          <w:numId w:val="21"/>
        </w:numPr>
        <w:jc w:val="both"/>
        <w:rPr>
          <w:lang w:val="en-GB"/>
        </w:rPr>
      </w:pPr>
      <w:r w:rsidRPr="009B2137">
        <w:rPr>
          <w:b/>
          <w:bCs/>
          <w:lang w:val="en-GB"/>
        </w:rPr>
        <w:t>Webinar 1</w:t>
      </w:r>
      <w:r w:rsidR="0073344C" w:rsidRPr="009B2137">
        <w:rPr>
          <w:b/>
          <w:bCs/>
          <w:lang w:val="en-GB"/>
        </w:rPr>
        <w:t xml:space="preserve">: </w:t>
      </w:r>
      <w:r w:rsidR="000F5618" w:rsidRPr="009B2137">
        <w:rPr>
          <w:b/>
          <w:bCs/>
          <w:lang w:val="en-GB"/>
        </w:rPr>
        <w:t>facilitating the path to adoption</w:t>
      </w:r>
      <w:r w:rsidR="000F5618" w:rsidRPr="009B2137">
        <w:rPr>
          <w:lang w:val="en-GB"/>
        </w:rPr>
        <w:t xml:space="preserve">. </w:t>
      </w:r>
      <w:r w:rsidR="006D01CB" w:rsidRPr="009B2137">
        <w:rPr>
          <w:lang w:val="en-GB"/>
        </w:rPr>
        <w:t xml:space="preserve">The webinar will start with short testimonies on the EDITH CSA work, the current status of the VHT initiative and the </w:t>
      </w:r>
      <w:r w:rsidR="0019720A" w:rsidRPr="009B2137">
        <w:rPr>
          <w:lang w:val="en-GB"/>
        </w:rPr>
        <w:t xml:space="preserve">inputs received during the preparation phase. Identified challenges will be discussed and audience participation will be requested to </w:t>
      </w:r>
      <w:r w:rsidR="00741C26" w:rsidRPr="009B2137">
        <w:rPr>
          <w:lang w:val="en-GB"/>
        </w:rPr>
        <w:t xml:space="preserve">complete the list of challenges and prepare a series of targeted actions to address them. </w:t>
      </w:r>
      <w:r w:rsidR="004035AA" w:rsidRPr="009B2137">
        <w:rPr>
          <w:lang w:val="en-GB"/>
        </w:rPr>
        <w:t xml:space="preserve">These actions will focus on all stakeholders. </w:t>
      </w:r>
      <w:r w:rsidR="000F5618" w:rsidRPr="009B2137">
        <w:rPr>
          <w:lang w:val="en-GB"/>
        </w:rPr>
        <w:t xml:space="preserve"> </w:t>
      </w:r>
    </w:p>
    <w:p w14:paraId="1F2A62EF" w14:textId="3E15F892" w:rsidR="0073344C" w:rsidRPr="009B2137" w:rsidRDefault="00ED4BE2" w:rsidP="0073344C">
      <w:pPr>
        <w:pStyle w:val="Paragrafoelenco"/>
        <w:numPr>
          <w:ilvl w:val="0"/>
          <w:numId w:val="21"/>
        </w:numPr>
        <w:jc w:val="both"/>
        <w:rPr>
          <w:lang w:val="en-GB"/>
        </w:rPr>
      </w:pPr>
      <w:r w:rsidRPr="009B2137">
        <w:rPr>
          <w:b/>
          <w:bCs/>
          <w:lang w:val="en-GB"/>
        </w:rPr>
        <w:t>Webinar 2</w:t>
      </w:r>
      <w:r w:rsidR="00A62986" w:rsidRPr="009B2137">
        <w:rPr>
          <w:b/>
          <w:bCs/>
          <w:lang w:val="en-GB"/>
        </w:rPr>
        <w:t xml:space="preserve">: </w:t>
      </w:r>
      <w:r w:rsidR="00DA1EA6" w:rsidRPr="009B2137">
        <w:rPr>
          <w:b/>
          <w:bCs/>
          <w:lang w:val="en-GB"/>
        </w:rPr>
        <w:t>AI as a facilitator for realizing the vision of the VHT</w:t>
      </w:r>
      <w:r w:rsidR="004035AA" w:rsidRPr="009B2137">
        <w:rPr>
          <w:lang w:val="en-GB"/>
        </w:rPr>
        <w:t>.</w:t>
      </w:r>
      <w:r w:rsidR="00135B20" w:rsidRPr="009B2137">
        <w:rPr>
          <w:lang w:val="en-GB"/>
        </w:rPr>
        <w:t xml:space="preserve"> Starting with testimonies of tangible examples of </w:t>
      </w:r>
      <w:r w:rsidR="00127AEE" w:rsidRPr="009B2137">
        <w:rPr>
          <w:lang w:val="en-GB"/>
        </w:rPr>
        <w:t xml:space="preserve">the use of AI in VHT innovation and adoption, the webinar will continue with a more fundamental discussion on the ongoing developments and the related challenges </w:t>
      </w:r>
      <w:r w:rsidR="00735BD0" w:rsidRPr="009B2137">
        <w:rPr>
          <w:lang w:val="en-GB"/>
        </w:rPr>
        <w:t>surrounding their uptake. An interactive discussion will help identifying add</w:t>
      </w:r>
      <w:r w:rsidR="00E176E1" w:rsidRPr="009B2137">
        <w:rPr>
          <w:lang w:val="en-GB"/>
        </w:rPr>
        <w:t xml:space="preserve">itional examples, opportunities and challenges. </w:t>
      </w:r>
    </w:p>
    <w:p w14:paraId="537EEE7A" w14:textId="3D971315" w:rsidR="001324F3" w:rsidRPr="009B2137" w:rsidRDefault="005E2D9B" w:rsidP="001324F3">
      <w:pPr>
        <w:jc w:val="both"/>
        <w:rPr>
          <w:color w:val="E97132" w:themeColor="accent2"/>
          <w:u w:val="single"/>
          <w:lang w:val="en-GB"/>
        </w:rPr>
      </w:pPr>
      <w:r w:rsidRPr="009B2137">
        <w:rPr>
          <w:b/>
          <w:bCs/>
          <w:color w:val="E97132" w:themeColor="accent2"/>
          <w:u w:val="single"/>
          <w:lang w:val="en-GB"/>
        </w:rPr>
        <w:t>Joint statement</w:t>
      </w:r>
    </w:p>
    <w:p w14:paraId="298D8117" w14:textId="226F4D65" w:rsidR="00931834" w:rsidRPr="009B2137" w:rsidRDefault="00931834" w:rsidP="001324F3">
      <w:pPr>
        <w:jc w:val="both"/>
        <w:rPr>
          <w:lang w:val="en-GB"/>
        </w:rPr>
      </w:pPr>
      <w:r w:rsidRPr="009B2137">
        <w:rPr>
          <w:lang w:val="en-GB"/>
        </w:rPr>
        <w:t xml:space="preserve">We will synthesise </w:t>
      </w:r>
      <w:r w:rsidR="0096365F" w:rsidRPr="009B2137">
        <w:rPr>
          <w:lang w:val="en-GB"/>
        </w:rPr>
        <w:t xml:space="preserve">the input and </w:t>
      </w:r>
      <w:r w:rsidRPr="009B2137">
        <w:rPr>
          <w:lang w:val="en-GB"/>
        </w:rPr>
        <w:t xml:space="preserve">feedback </w:t>
      </w:r>
      <w:r w:rsidR="0096365F" w:rsidRPr="009B2137">
        <w:rPr>
          <w:lang w:val="en-GB"/>
        </w:rPr>
        <w:t xml:space="preserve">from the previous phases </w:t>
      </w:r>
      <w:r w:rsidRPr="009B2137">
        <w:rPr>
          <w:lang w:val="en-GB"/>
        </w:rPr>
        <w:t xml:space="preserve">to </w:t>
      </w:r>
      <w:r w:rsidRPr="009B2137">
        <w:rPr>
          <w:b/>
          <w:bCs/>
          <w:lang w:val="en-GB"/>
        </w:rPr>
        <w:t xml:space="preserve">identify </w:t>
      </w:r>
      <w:r w:rsidR="00EF10EF" w:rsidRPr="009B2137">
        <w:rPr>
          <w:b/>
          <w:bCs/>
          <w:lang w:val="en-GB"/>
        </w:rPr>
        <w:t>opportunities, g</w:t>
      </w:r>
      <w:r w:rsidRPr="009B2137">
        <w:rPr>
          <w:b/>
          <w:bCs/>
          <w:lang w:val="en-GB"/>
        </w:rPr>
        <w:t>aps, and strategic recommendations</w:t>
      </w:r>
      <w:r w:rsidR="00BE67B1" w:rsidRPr="009B2137">
        <w:rPr>
          <w:lang w:val="en-GB"/>
        </w:rPr>
        <w:t xml:space="preserve">. </w:t>
      </w:r>
      <w:r w:rsidR="0040696D" w:rsidRPr="009B2137">
        <w:rPr>
          <w:lang w:val="en-GB"/>
        </w:rPr>
        <w:t xml:space="preserve">Given the short timing, a joint statement will be prepared immediately following the final webinar in order to allow for a maximal amount of time to </w:t>
      </w:r>
      <w:r w:rsidR="000E40D8" w:rsidRPr="009B2137">
        <w:rPr>
          <w:lang w:val="en-GB"/>
        </w:rPr>
        <w:t>incorporate comments from the entire ecosyste</w:t>
      </w:r>
      <w:r w:rsidR="007B5F5A" w:rsidRPr="009B2137">
        <w:rPr>
          <w:lang w:val="en-GB"/>
        </w:rPr>
        <w:t>m</w:t>
      </w:r>
      <w:r w:rsidR="009D65E0" w:rsidRPr="009B2137">
        <w:rPr>
          <w:lang w:val="en-GB"/>
        </w:rPr>
        <w:t xml:space="preserve">. This will facilitate the formal endorsement by the </w:t>
      </w:r>
      <w:r w:rsidR="005374DA">
        <w:rPr>
          <w:lang w:val="en-GB"/>
        </w:rPr>
        <w:t xml:space="preserve">health policy </w:t>
      </w:r>
      <w:r w:rsidR="009D65E0" w:rsidRPr="009B2137">
        <w:rPr>
          <w:lang w:val="en-GB"/>
        </w:rPr>
        <w:t xml:space="preserve">network and its partners. </w:t>
      </w:r>
    </w:p>
    <w:p w14:paraId="12771B22" w14:textId="77777777" w:rsidR="00E46016" w:rsidRPr="009B2137" w:rsidRDefault="00931834" w:rsidP="00771E3F">
      <w:pPr>
        <w:shd w:val="clear" w:color="auto" w:fill="FAE2D5" w:themeFill="accent2" w:themeFillTint="33"/>
        <w:jc w:val="both"/>
        <w:rPr>
          <w:lang w:val="en-GB"/>
        </w:rPr>
      </w:pPr>
      <w:r w:rsidRPr="009B2137">
        <w:rPr>
          <w:b/>
          <w:bCs/>
          <w:lang w:val="en-GB"/>
        </w:rPr>
        <w:t>Possible Network and Partners Involved</w:t>
      </w:r>
      <w:r w:rsidRPr="009B2137">
        <w:rPr>
          <w:lang w:val="en-GB"/>
        </w:rPr>
        <w:t xml:space="preserve"> </w:t>
      </w:r>
    </w:p>
    <w:p w14:paraId="48AFE77A" w14:textId="3E3915E8" w:rsidR="00DA49AB" w:rsidRPr="009B2137" w:rsidRDefault="00931834" w:rsidP="00771E3F">
      <w:pPr>
        <w:jc w:val="both"/>
        <w:rPr>
          <w:lang w:val="en-GB"/>
        </w:rPr>
      </w:pPr>
      <w:r w:rsidRPr="009B2137">
        <w:rPr>
          <w:lang w:val="en-GB"/>
        </w:rPr>
        <w:t xml:space="preserve">The Virtual Physiological Human </w:t>
      </w:r>
      <w:proofErr w:type="gramStart"/>
      <w:r w:rsidRPr="009B2137">
        <w:rPr>
          <w:lang w:val="en-GB"/>
        </w:rPr>
        <w:t>Institute  will</w:t>
      </w:r>
      <w:proofErr w:type="gramEnd"/>
      <w:r w:rsidRPr="009B2137">
        <w:rPr>
          <w:lang w:val="en-GB"/>
        </w:rPr>
        <w:t xml:space="preserve"> lead this Thematic Network, leveraging its extensive network and expertise within the EDITH consortium. We will engage the established </w:t>
      </w:r>
      <w:r w:rsidR="00045829" w:rsidRPr="009B2137">
        <w:rPr>
          <w:b/>
          <w:bCs/>
          <w:lang w:val="en-GB"/>
        </w:rPr>
        <w:t xml:space="preserve">EDITH </w:t>
      </w:r>
      <w:r w:rsidRPr="009B2137">
        <w:rPr>
          <w:b/>
          <w:bCs/>
          <w:lang w:val="en-GB"/>
        </w:rPr>
        <w:t>Community of Practice</w:t>
      </w:r>
      <w:r w:rsidRPr="009B2137">
        <w:rPr>
          <w:lang w:val="en-GB"/>
        </w:rPr>
        <w:t>, including</w:t>
      </w:r>
      <w:r w:rsidR="0091448C" w:rsidRPr="009B2137">
        <w:rPr>
          <w:lang w:val="en-GB"/>
        </w:rPr>
        <w:t xml:space="preserve"> members of</w:t>
      </w:r>
      <w:r w:rsidRPr="009B2137">
        <w:rPr>
          <w:lang w:val="en-GB"/>
        </w:rPr>
        <w:t xml:space="preserve"> the </w:t>
      </w:r>
      <w:r w:rsidR="0091448C" w:rsidRPr="009B2137">
        <w:rPr>
          <w:lang w:val="en-GB"/>
        </w:rPr>
        <w:t xml:space="preserve">EDITH </w:t>
      </w:r>
      <w:r w:rsidRPr="009B2137">
        <w:rPr>
          <w:lang w:val="en-GB"/>
        </w:rPr>
        <w:t>Advisory Group of Stakeholders</w:t>
      </w:r>
      <w:r w:rsidR="00591BA1" w:rsidRPr="009B2137">
        <w:rPr>
          <w:lang w:val="en-GB"/>
        </w:rPr>
        <w:t xml:space="preserve"> and the VHT Manifesto signatories</w:t>
      </w:r>
      <w:r w:rsidRPr="009B2137">
        <w:rPr>
          <w:lang w:val="en-GB"/>
        </w:rPr>
        <w:t xml:space="preserve">, </w:t>
      </w:r>
      <w:r w:rsidR="0056405B" w:rsidRPr="009B2137">
        <w:rPr>
          <w:b/>
          <w:bCs/>
          <w:lang w:val="en-GB"/>
        </w:rPr>
        <w:t>clinical societies</w:t>
      </w:r>
      <w:r w:rsidR="0056405B" w:rsidRPr="009B2137">
        <w:rPr>
          <w:lang w:val="en-GB"/>
        </w:rPr>
        <w:t xml:space="preserve"> (e.g., European Society of Cardiology), </w:t>
      </w:r>
      <w:r w:rsidRPr="009B2137">
        <w:rPr>
          <w:b/>
          <w:bCs/>
          <w:lang w:val="en-GB"/>
        </w:rPr>
        <w:t>patient organisations</w:t>
      </w:r>
      <w:r w:rsidRPr="009B2137">
        <w:rPr>
          <w:lang w:val="en-GB"/>
        </w:rPr>
        <w:t xml:space="preserve"> (e.g., European Patients’ Forum), </w:t>
      </w:r>
      <w:r w:rsidR="00045829" w:rsidRPr="009B2137">
        <w:rPr>
          <w:b/>
          <w:bCs/>
          <w:lang w:val="en-GB"/>
        </w:rPr>
        <w:t xml:space="preserve">academic </w:t>
      </w:r>
      <w:r w:rsidR="00063909" w:rsidRPr="009B2137">
        <w:rPr>
          <w:b/>
          <w:bCs/>
          <w:lang w:val="en-GB"/>
        </w:rPr>
        <w:t>institutions</w:t>
      </w:r>
      <w:r w:rsidR="00063909" w:rsidRPr="009B2137">
        <w:rPr>
          <w:lang w:val="en-GB"/>
        </w:rPr>
        <w:t xml:space="preserve"> </w:t>
      </w:r>
      <w:r w:rsidR="00045829" w:rsidRPr="009B2137">
        <w:rPr>
          <w:lang w:val="en-GB"/>
        </w:rPr>
        <w:t>(</w:t>
      </w:r>
      <w:r w:rsidR="00AC3C7F" w:rsidRPr="009B2137">
        <w:rPr>
          <w:lang w:val="en-GB"/>
        </w:rPr>
        <w:t>e.g., KU Leuven, University of Liège</w:t>
      </w:r>
      <w:r w:rsidR="009F501A">
        <w:rPr>
          <w:lang w:val="en-GB"/>
        </w:rPr>
        <w:t>, University of Bologna</w:t>
      </w:r>
      <w:r w:rsidR="00CD45AF">
        <w:rPr>
          <w:lang w:val="en-GB"/>
        </w:rPr>
        <w:t xml:space="preserve">, </w:t>
      </w:r>
      <w:r w:rsidR="007314B2">
        <w:rPr>
          <w:lang w:val="en-GB"/>
        </w:rPr>
        <w:t>Ka</w:t>
      </w:r>
      <w:r w:rsidR="00D55B0F">
        <w:rPr>
          <w:lang w:val="en-GB"/>
        </w:rPr>
        <w:t>r</w:t>
      </w:r>
      <w:r w:rsidR="007314B2">
        <w:rPr>
          <w:lang w:val="en-GB"/>
        </w:rPr>
        <w:t>lsruhe Institute of Tec</w:t>
      </w:r>
      <w:r w:rsidR="00D55B0F">
        <w:rPr>
          <w:lang w:val="en-GB"/>
        </w:rPr>
        <w:t>h</w:t>
      </w:r>
      <w:r w:rsidR="007314B2">
        <w:rPr>
          <w:lang w:val="en-GB"/>
        </w:rPr>
        <w:t>nol</w:t>
      </w:r>
      <w:r w:rsidR="00E701B0">
        <w:rPr>
          <w:lang w:val="en-GB"/>
        </w:rPr>
        <w:t>o</w:t>
      </w:r>
      <w:r w:rsidR="007314B2">
        <w:rPr>
          <w:lang w:val="en-GB"/>
        </w:rPr>
        <w:t xml:space="preserve">gy </w:t>
      </w:r>
      <w:r w:rsidR="009F501A">
        <w:rPr>
          <w:lang w:val="en-GB"/>
        </w:rPr>
        <w:t xml:space="preserve"> and </w:t>
      </w:r>
      <w:r w:rsidR="00532C7A">
        <w:rPr>
          <w:lang w:val="en-GB"/>
        </w:rPr>
        <w:t>other u</w:t>
      </w:r>
      <w:r w:rsidR="00C27AF6">
        <w:rPr>
          <w:lang w:val="en-GB"/>
        </w:rPr>
        <w:t>niversities within</w:t>
      </w:r>
      <w:r w:rsidR="009F501A">
        <w:rPr>
          <w:lang w:val="en-GB"/>
        </w:rPr>
        <w:t xml:space="preserve"> VPH </w:t>
      </w:r>
      <w:r w:rsidR="00C27AF6">
        <w:rPr>
          <w:lang w:val="en-GB"/>
        </w:rPr>
        <w:t>membership</w:t>
      </w:r>
      <w:r w:rsidR="00AC3C7F" w:rsidRPr="009B2137">
        <w:rPr>
          <w:lang w:val="en-GB"/>
        </w:rPr>
        <w:t>)</w:t>
      </w:r>
      <w:r w:rsidR="00063909" w:rsidRPr="009B2137">
        <w:rPr>
          <w:lang w:val="en-GB"/>
        </w:rPr>
        <w:t xml:space="preserve">, </w:t>
      </w:r>
      <w:r w:rsidR="00063909" w:rsidRPr="009B2137">
        <w:rPr>
          <w:b/>
          <w:bCs/>
          <w:lang w:val="en-GB"/>
        </w:rPr>
        <w:t>academic organisations</w:t>
      </w:r>
      <w:r w:rsidR="00063909" w:rsidRPr="009B2137">
        <w:rPr>
          <w:lang w:val="en-GB"/>
        </w:rPr>
        <w:t xml:space="preserve"> (e.g., Human Cell Atlas, LERU</w:t>
      </w:r>
      <w:r w:rsidR="00755957">
        <w:rPr>
          <w:lang w:val="en-GB"/>
        </w:rPr>
        <w:t xml:space="preserve">, </w:t>
      </w:r>
      <w:r w:rsidR="00755957" w:rsidRPr="00532C7A">
        <w:rPr>
          <w:b/>
          <w:bCs/>
          <w:lang w:val="en-US"/>
        </w:rPr>
        <w:t xml:space="preserve">IRCCS Rizzoli </w:t>
      </w:r>
      <w:proofErr w:type="spellStart"/>
      <w:r w:rsidR="00755957" w:rsidRPr="00532C7A">
        <w:rPr>
          <w:b/>
          <w:bCs/>
          <w:lang w:val="en-US"/>
        </w:rPr>
        <w:t>Orthopaedic</w:t>
      </w:r>
      <w:proofErr w:type="spellEnd"/>
      <w:r w:rsidR="00755957" w:rsidRPr="00532C7A">
        <w:rPr>
          <w:b/>
          <w:bCs/>
          <w:lang w:val="en-US"/>
        </w:rPr>
        <w:t xml:space="preserve"> Institute</w:t>
      </w:r>
      <w:r w:rsidR="00063909" w:rsidRPr="009B2137">
        <w:rPr>
          <w:lang w:val="en-GB"/>
        </w:rPr>
        <w:t>)</w:t>
      </w:r>
      <w:r w:rsidR="00AC3C7F" w:rsidRPr="009B2137">
        <w:rPr>
          <w:lang w:val="en-GB"/>
        </w:rPr>
        <w:t xml:space="preserve"> </w:t>
      </w:r>
      <w:r w:rsidRPr="009B2137">
        <w:rPr>
          <w:lang w:val="en-GB"/>
        </w:rPr>
        <w:t xml:space="preserve">and </w:t>
      </w:r>
      <w:r w:rsidRPr="009B2137">
        <w:rPr>
          <w:b/>
          <w:bCs/>
          <w:lang w:val="en-GB"/>
        </w:rPr>
        <w:t>professional associations</w:t>
      </w:r>
      <w:r w:rsidRPr="009B2137">
        <w:rPr>
          <w:lang w:val="en-GB"/>
        </w:rPr>
        <w:t xml:space="preserve"> </w:t>
      </w:r>
      <w:r w:rsidR="00063909" w:rsidRPr="009B2137">
        <w:rPr>
          <w:lang w:val="en-GB"/>
        </w:rPr>
        <w:t xml:space="preserve">(e.g., </w:t>
      </w:r>
      <w:r w:rsidRPr="009B2137">
        <w:rPr>
          <w:lang w:val="en-GB"/>
        </w:rPr>
        <w:t>Avicenna Alliance</w:t>
      </w:r>
      <w:r w:rsidR="00063909" w:rsidRPr="009B2137">
        <w:rPr>
          <w:lang w:val="en-GB"/>
        </w:rPr>
        <w:t>,</w:t>
      </w:r>
      <w:r w:rsidRPr="009B2137">
        <w:rPr>
          <w:lang w:val="en-GB"/>
        </w:rPr>
        <w:t xml:space="preserve"> BioMed Alliance</w:t>
      </w:r>
      <w:r w:rsidR="00063909" w:rsidRPr="009B2137">
        <w:rPr>
          <w:lang w:val="en-GB"/>
        </w:rPr>
        <w:t>)</w:t>
      </w:r>
      <w:r w:rsidRPr="009B2137">
        <w:rPr>
          <w:lang w:val="en-GB"/>
        </w:rPr>
        <w:t>. Our approach aligns with the collaborative spirit of the EU Health Policy Platform.</w:t>
      </w:r>
    </w:p>
    <w:p w14:paraId="5A7F6B24" w14:textId="77777777" w:rsidR="00F609D0" w:rsidRPr="009B2137" w:rsidRDefault="00931834" w:rsidP="00771E3F">
      <w:pPr>
        <w:shd w:val="clear" w:color="auto" w:fill="FAE2D5" w:themeFill="accent2" w:themeFillTint="33"/>
        <w:jc w:val="both"/>
        <w:rPr>
          <w:b/>
          <w:bCs/>
          <w:lang w:val="en-GB"/>
        </w:rPr>
      </w:pPr>
      <w:r w:rsidRPr="009B2137">
        <w:rPr>
          <w:b/>
          <w:bCs/>
          <w:lang w:val="en-GB"/>
        </w:rPr>
        <w:t xml:space="preserve">Format and Dissemination of the Joint Statement </w:t>
      </w:r>
    </w:p>
    <w:p w14:paraId="7D00BF40" w14:textId="77777777" w:rsidR="00423603" w:rsidRPr="009B2137" w:rsidRDefault="00931834" w:rsidP="00771E3F">
      <w:pPr>
        <w:jc w:val="both"/>
        <w:rPr>
          <w:lang w:val="en-GB"/>
        </w:rPr>
      </w:pPr>
      <w:r w:rsidRPr="009B2137">
        <w:rPr>
          <w:lang w:val="en-GB"/>
        </w:rPr>
        <w:t xml:space="preserve">The output will be a </w:t>
      </w:r>
      <w:r w:rsidR="008D684B" w:rsidRPr="009B2137">
        <w:rPr>
          <w:lang w:val="en-GB"/>
        </w:rPr>
        <w:t>Joint Statement</w:t>
      </w:r>
      <w:r w:rsidRPr="009B2137">
        <w:rPr>
          <w:lang w:val="en-GB"/>
        </w:rPr>
        <w:t xml:space="preserve">, detailing needs, challenges, opportunities, and </w:t>
      </w:r>
      <w:r w:rsidRPr="009B2137">
        <w:rPr>
          <w:b/>
          <w:bCs/>
          <w:lang w:val="en-GB"/>
        </w:rPr>
        <w:t>concrete recommendations</w:t>
      </w:r>
      <w:r w:rsidRPr="009B2137">
        <w:rPr>
          <w:lang w:val="en-GB"/>
        </w:rPr>
        <w:t xml:space="preserve"> for trusted VHT and AI adoption. </w:t>
      </w:r>
      <w:r w:rsidR="00FA5139" w:rsidRPr="009B2137">
        <w:rPr>
          <w:lang w:val="en-GB"/>
        </w:rPr>
        <w:t xml:space="preserve">The Joint Statement will be </w:t>
      </w:r>
      <w:r w:rsidR="005B1619" w:rsidRPr="009B2137">
        <w:rPr>
          <w:lang w:val="en-GB"/>
        </w:rPr>
        <w:t xml:space="preserve">formally presentation at the EU Health Policy Platform Annual Meeting in spring 2026. </w:t>
      </w:r>
    </w:p>
    <w:p w14:paraId="2EA8827D" w14:textId="6D4256D9" w:rsidR="00931834" w:rsidRPr="009B2137" w:rsidRDefault="005B1619" w:rsidP="00771E3F">
      <w:pPr>
        <w:jc w:val="both"/>
        <w:rPr>
          <w:lang w:val="en-GB"/>
        </w:rPr>
      </w:pPr>
      <w:r w:rsidRPr="009B2137">
        <w:rPr>
          <w:lang w:val="en-GB"/>
        </w:rPr>
        <w:t xml:space="preserve">The Joint Statement will then be </w:t>
      </w:r>
      <w:r w:rsidR="00FA5139" w:rsidRPr="009B2137">
        <w:rPr>
          <w:lang w:val="en-GB"/>
        </w:rPr>
        <w:t xml:space="preserve">published </w:t>
      </w:r>
      <w:r w:rsidR="000F0F33" w:rsidRPr="009B2137">
        <w:rPr>
          <w:lang w:val="en-GB"/>
        </w:rPr>
        <w:t xml:space="preserve">as a </w:t>
      </w:r>
      <w:r w:rsidR="0004349A" w:rsidRPr="009B2137">
        <w:rPr>
          <w:b/>
          <w:bCs/>
          <w:lang w:val="en-GB"/>
        </w:rPr>
        <w:t xml:space="preserve">public </w:t>
      </w:r>
      <w:r w:rsidR="000F0F33" w:rsidRPr="009B2137">
        <w:rPr>
          <w:b/>
          <w:bCs/>
          <w:lang w:val="en-GB"/>
        </w:rPr>
        <w:t>document</w:t>
      </w:r>
      <w:r w:rsidR="000F0F33" w:rsidRPr="009B2137">
        <w:rPr>
          <w:lang w:val="en-GB"/>
        </w:rPr>
        <w:t xml:space="preserve"> and it</w:t>
      </w:r>
      <w:r w:rsidR="00931834" w:rsidRPr="009B2137">
        <w:rPr>
          <w:lang w:val="en-GB"/>
        </w:rPr>
        <w:t xml:space="preserve"> will be complemented by expert-designed</w:t>
      </w:r>
      <w:r w:rsidR="00931834" w:rsidRPr="009B2137">
        <w:rPr>
          <w:b/>
          <w:bCs/>
          <w:lang w:val="en-GB"/>
        </w:rPr>
        <w:t xml:space="preserve"> infographics</w:t>
      </w:r>
      <w:r w:rsidR="0052406E" w:rsidRPr="009B2137">
        <w:rPr>
          <w:rStyle w:val="Rimandonotaapidipagina"/>
          <w:b/>
          <w:bCs/>
          <w:lang w:val="en-GB"/>
        </w:rPr>
        <w:footnoteReference w:id="1"/>
      </w:r>
      <w:r w:rsidR="00931834" w:rsidRPr="009B2137">
        <w:rPr>
          <w:lang w:val="en-GB"/>
        </w:rPr>
        <w:t>.</w:t>
      </w:r>
      <w:r w:rsidR="00547D6F" w:rsidRPr="009B2137">
        <w:rPr>
          <w:lang w:val="en-GB"/>
        </w:rPr>
        <w:t xml:space="preserve"> A d</w:t>
      </w:r>
      <w:r w:rsidR="00931834" w:rsidRPr="009B2137">
        <w:rPr>
          <w:lang w:val="en-GB"/>
        </w:rPr>
        <w:t>issemination</w:t>
      </w:r>
      <w:r w:rsidR="00547D6F" w:rsidRPr="009B2137">
        <w:rPr>
          <w:lang w:val="en-GB"/>
        </w:rPr>
        <w:t xml:space="preserve"> campaign will be developed</w:t>
      </w:r>
      <w:r w:rsidR="003E5B1D" w:rsidRPr="009B2137">
        <w:rPr>
          <w:lang w:val="en-GB"/>
        </w:rPr>
        <w:t xml:space="preserve">, </w:t>
      </w:r>
      <w:r w:rsidR="00612F81">
        <w:rPr>
          <w:lang w:val="en-GB"/>
        </w:rPr>
        <w:t xml:space="preserve">leveraging </w:t>
      </w:r>
      <w:r w:rsidR="00C43763" w:rsidRPr="009B2137">
        <w:rPr>
          <w:lang w:val="en-GB"/>
        </w:rPr>
        <w:t xml:space="preserve">the contributor’s </w:t>
      </w:r>
      <w:r w:rsidR="003E5B1D" w:rsidRPr="009B2137">
        <w:rPr>
          <w:lang w:val="en-GB"/>
        </w:rPr>
        <w:t xml:space="preserve">existing </w:t>
      </w:r>
      <w:r w:rsidR="003E5B1D" w:rsidRPr="009B2137">
        <w:rPr>
          <w:b/>
          <w:bCs/>
          <w:lang w:val="en-GB"/>
        </w:rPr>
        <w:t>digital and social media channels</w:t>
      </w:r>
      <w:r w:rsidR="003E5B1D" w:rsidRPr="009B2137">
        <w:rPr>
          <w:lang w:val="en-GB"/>
        </w:rPr>
        <w:t xml:space="preserve">, including the </w:t>
      </w:r>
      <w:r w:rsidR="00931834" w:rsidRPr="009B2137">
        <w:rPr>
          <w:lang w:val="en-GB"/>
        </w:rPr>
        <w:t xml:space="preserve">EDITH </w:t>
      </w:r>
      <w:r w:rsidR="003E5B1D" w:rsidRPr="009B2137">
        <w:rPr>
          <w:lang w:val="en-GB"/>
        </w:rPr>
        <w:t>legacy</w:t>
      </w:r>
      <w:r w:rsidR="003E5B1D" w:rsidRPr="009B2137">
        <w:rPr>
          <w:b/>
          <w:bCs/>
          <w:lang w:val="en-GB"/>
        </w:rPr>
        <w:t xml:space="preserve"> </w:t>
      </w:r>
      <w:r w:rsidR="00931834" w:rsidRPr="009B2137">
        <w:rPr>
          <w:lang w:val="en-GB"/>
        </w:rPr>
        <w:t>website</w:t>
      </w:r>
      <w:r w:rsidR="00931834" w:rsidRPr="009B2137">
        <w:rPr>
          <w:b/>
          <w:bCs/>
          <w:lang w:val="en-GB"/>
        </w:rPr>
        <w:t xml:space="preserve"> </w:t>
      </w:r>
      <w:r w:rsidR="00931834" w:rsidRPr="009B2137">
        <w:rPr>
          <w:lang w:val="en-GB"/>
        </w:rPr>
        <w:t>(</w:t>
      </w:r>
      <w:hyperlink r:id="rId9" w:history="1">
        <w:r w:rsidR="003E5B1D" w:rsidRPr="009B2137">
          <w:rPr>
            <w:rStyle w:val="Collegamentoipertestuale"/>
            <w:lang w:val="en-GB"/>
          </w:rPr>
          <w:t>www.virtualhumantwins.eu</w:t>
        </w:r>
      </w:hyperlink>
      <w:r w:rsidR="00931834" w:rsidRPr="009B2137">
        <w:rPr>
          <w:lang w:val="en-GB"/>
        </w:rPr>
        <w:t>)</w:t>
      </w:r>
      <w:r w:rsidR="00C43763" w:rsidRPr="009B2137">
        <w:rPr>
          <w:lang w:val="en-GB"/>
        </w:rPr>
        <w:t>,</w:t>
      </w:r>
      <w:r w:rsidR="00931834" w:rsidRPr="009B2137">
        <w:rPr>
          <w:lang w:val="en-GB"/>
        </w:rPr>
        <w:t xml:space="preserve"> </w:t>
      </w:r>
      <w:r w:rsidR="008712DF" w:rsidRPr="009B2137">
        <w:rPr>
          <w:lang w:val="en-GB"/>
        </w:rPr>
        <w:t xml:space="preserve">and </w:t>
      </w:r>
      <w:r w:rsidR="00931834" w:rsidRPr="009B2137">
        <w:rPr>
          <w:lang w:val="en-GB"/>
        </w:rPr>
        <w:t xml:space="preserve">leveraging </w:t>
      </w:r>
      <w:r w:rsidR="008C71F1" w:rsidRPr="009B2137">
        <w:rPr>
          <w:lang w:val="en-GB"/>
        </w:rPr>
        <w:t xml:space="preserve">the </w:t>
      </w:r>
      <w:r w:rsidR="00931834" w:rsidRPr="009B2137">
        <w:rPr>
          <w:lang w:val="en-GB"/>
        </w:rPr>
        <w:t>EU Health Policy Platform channels (bi-weekly newsletter, Agora Network)</w:t>
      </w:r>
      <w:r w:rsidR="008C71F1" w:rsidRPr="009B2137">
        <w:rPr>
          <w:lang w:val="en-GB"/>
        </w:rPr>
        <w:t xml:space="preserve">. </w:t>
      </w:r>
      <w:r w:rsidR="00931834" w:rsidRPr="009B2137">
        <w:rPr>
          <w:lang w:val="en-GB"/>
        </w:rPr>
        <w:t xml:space="preserve">This multi-faceted approach ensures that insights inform EU health policy and empower stakeholders for responsible VHT/AI </w:t>
      </w:r>
      <w:r w:rsidR="00E46016" w:rsidRPr="009B2137">
        <w:rPr>
          <w:lang w:val="en-GB"/>
        </w:rPr>
        <w:t>innovation and adoption</w:t>
      </w:r>
      <w:r w:rsidR="00931834" w:rsidRPr="009B2137">
        <w:rPr>
          <w:lang w:val="en-GB"/>
        </w:rPr>
        <w:t>.</w:t>
      </w:r>
    </w:p>
    <w:p w14:paraId="4B97FBD5" w14:textId="77777777" w:rsidR="00D272F5" w:rsidRPr="009B2137" w:rsidRDefault="00D272F5" w:rsidP="00771E3F">
      <w:pPr>
        <w:jc w:val="both"/>
        <w:rPr>
          <w:lang w:val="en-GB"/>
        </w:rPr>
      </w:pPr>
    </w:p>
    <w:sectPr w:rsidR="00D272F5" w:rsidRPr="009B21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DA78" w14:textId="77777777" w:rsidR="00B64B32" w:rsidRDefault="00B64B32" w:rsidP="0052406E">
      <w:pPr>
        <w:spacing w:after="0" w:line="240" w:lineRule="auto"/>
      </w:pPr>
      <w:r>
        <w:separator/>
      </w:r>
    </w:p>
  </w:endnote>
  <w:endnote w:type="continuationSeparator" w:id="0">
    <w:p w14:paraId="469F67B8" w14:textId="77777777" w:rsidR="00B64B32" w:rsidRDefault="00B64B32" w:rsidP="0052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34E4D" w14:textId="77777777" w:rsidR="00B64B32" w:rsidRDefault="00B64B32" w:rsidP="0052406E">
      <w:pPr>
        <w:spacing w:after="0" w:line="240" w:lineRule="auto"/>
      </w:pPr>
      <w:r>
        <w:separator/>
      </w:r>
    </w:p>
  </w:footnote>
  <w:footnote w:type="continuationSeparator" w:id="0">
    <w:p w14:paraId="5EDCEA91" w14:textId="77777777" w:rsidR="00B64B32" w:rsidRDefault="00B64B32" w:rsidP="0052406E">
      <w:pPr>
        <w:spacing w:after="0" w:line="240" w:lineRule="auto"/>
      </w:pPr>
      <w:r>
        <w:continuationSeparator/>
      </w:r>
    </w:p>
  </w:footnote>
  <w:footnote w:id="1">
    <w:p w14:paraId="6D28903C" w14:textId="1603E482" w:rsidR="0052406E" w:rsidRPr="0052406E" w:rsidRDefault="0052406E">
      <w:pPr>
        <w:pStyle w:val="Testonotaapidipagina"/>
        <w:rPr>
          <w:lang w:val="en-US"/>
        </w:rPr>
      </w:pPr>
      <w:r>
        <w:rPr>
          <w:rStyle w:val="Rimandonotaapidipagina"/>
        </w:rPr>
        <w:footnoteRef/>
      </w:r>
      <w:r w:rsidRPr="0052406E">
        <w:rPr>
          <w:lang w:val="en-US"/>
        </w:rPr>
        <w:t xml:space="preserve"> </w:t>
      </w:r>
      <w:r w:rsidRPr="0052406E">
        <w:rPr>
          <w:sz w:val="18"/>
          <w:szCs w:val="18"/>
          <w:lang w:val="en-US"/>
        </w:rPr>
        <w:t xml:space="preserve">Infographics produced by VPHi for the survey on the use of computational modeling and simulation in clinics: </w:t>
      </w:r>
      <w:hyperlink r:id="rId1" w:history="1">
        <w:r w:rsidRPr="0052406E">
          <w:rPr>
            <w:rStyle w:val="Collegamentoipertestuale"/>
            <w:sz w:val="18"/>
            <w:szCs w:val="18"/>
            <w:lang w:val="en-US"/>
          </w:rPr>
          <w:t>https://www.vph-institute.org/upload/clinical-survey-finallowres-dm_644a78543a76e.pdf</w:t>
        </w:r>
      </w:hyperlink>
      <w:r w:rsidRPr="0052406E">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0927"/>
    <w:multiLevelType w:val="multilevel"/>
    <w:tmpl w:val="A1CC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D3C19"/>
    <w:multiLevelType w:val="multilevel"/>
    <w:tmpl w:val="7AB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31CCC"/>
    <w:multiLevelType w:val="multilevel"/>
    <w:tmpl w:val="D4A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11D48"/>
    <w:multiLevelType w:val="multilevel"/>
    <w:tmpl w:val="2EE8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24697"/>
    <w:multiLevelType w:val="multilevel"/>
    <w:tmpl w:val="9342D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86661"/>
    <w:multiLevelType w:val="multilevel"/>
    <w:tmpl w:val="BC2EC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F06EA"/>
    <w:multiLevelType w:val="hybridMultilevel"/>
    <w:tmpl w:val="A33A8C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C062BF"/>
    <w:multiLevelType w:val="multilevel"/>
    <w:tmpl w:val="2BA82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6043A"/>
    <w:multiLevelType w:val="multilevel"/>
    <w:tmpl w:val="B79A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D6F8F"/>
    <w:multiLevelType w:val="multilevel"/>
    <w:tmpl w:val="19F094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03F90"/>
    <w:multiLevelType w:val="multilevel"/>
    <w:tmpl w:val="54A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2402B"/>
    <w:multiLevelType w:val="multilevel"/>
    <w:tmpl w:val="FA8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3E2557"/>
    <w:multiLevelType w:val="multilevel"/>
    <w:tmpl w:val="7CAC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D0F7F"/>
    <w:multiLevelType w:val="multilevel"/>
    <w:tmpl w:val="7AB4E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D40D5"/>
    <w:multiLevelType w:val="multilevel"/>
    <w:tmpl w:val="C1B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80ABB"/>
    <w:multiLevelType w:val="multilevel"/>
    <w:tmpl w:val="C08A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90A54"/>
    <w:multiLevelType w:val="multilevel"/>
    <w:tmpl w:val="AD52D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82471"/>
    <w:multiLevelType w:val="multilevel"/>
    <w:tmpl w:val="7AB4E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123E4"/>
    <w:multiLevelType w:val="multilevel"/>
    <w:tmpl w:val="407A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B18FF"/>
    <w:multiLevelType w:val="multilevel"/>
    <w:tmpl w:val="266A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32538"/>
    <w:multiLevelType w:val="multilevel"/>
    <w:tmpl w:val="1A8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364975">
    <w:abstractNumId w:val="14"/>
  </w:num>
  <w:num w:numId="2" w16cid:durableId="1543515138">
    <w:abstractNumId w:val="0"/>
  </w:num>
  <w:num w:numId="3" w16cid:durableId="414018870">
    <w:abstractNumId w:val="20"/>
  </w:num>
  <w:num w:numId="4" w16cid:durableId="1429152296">
    <w:abstractNumId w:val="16"/>
  </w:num>
  <w:num w:numId="5" w16cid:durableId="513109474">
    <w:abstractNumId w:val="1"/>
  </w:num>
  <w:num w:numId="6" w16cid:durableId="1617908578">
    <w:abstractNumId w:val="10"/>
  </w:num>
  <w:num w:numId="7" w16cid:durableId="1756198793">
    <w:abstractNumId w:val="15"/>
  </w:num>
  <w:num w:numId="8" w16cid:durableId="1111970558">
    <w:abstractNumId w:val="3"/>
  </w:num>
  <w:num w:numId="9" w16cid:durableId="695156066">
    <w:abstractNumId w:val="5"/>
  </w:num>
  <w:num w:numId="10" w16cid:durableId="137192973">
    <w:abstractNumId w:val="2"/>
  </w:num>
  <w:num w:numId="11" w16cid:durableId="512184576">
    <w:abstractNumId w:val="12"/>
  </w:num>
  <w:num w:numId="12" w16cid:durableId="539170347">
    <w:abstractNumId w:val="4"/>
  </w:num>
  <w:num w:numId="13" w16cid:durableId="576792047">
    <w:abstractNumId w:val="8"/>
  </w:num>
  <w:num w:numId="14" w16cid:durableId="1898929852">
    <w:abstractNumId w:val="19"/>
  </w:num>
  <w:num w:numId="15" w16cid:durableId="1228497511">
    <w:abstractNumId w:val="9"/>
  </w:num>
  <w:num w:numId="16" w16cid:durableId="1399203638">
    <w:abstractNumId w:val="11"/>
  </w:num>
  <w:num w:numId="17" w16cid:durableId="545990327">
    <w:abstractNumId w:val="18"/>
  </w:num>
  <w:num w:numId="18" w16cid:durableId="830830387">
    <w:abstractNumId w:val="7"/>
  </w:num>
  <w:num w:numId="19" w16cid:durableId="470246355">
    <w:abstractNumId w:val="13"/>
  </w:num>
  <w:num w:numId="20" w16cid:durableId="1142311259">
    <w:abstractNumId w:val="17"/>
  </w:num>
  <w:num w:numId="21" w16cid:durableId="886916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EE"/>
    <w:rsid w:val="000135AF"/>
    <w:rsid w:val="000236A7"/>
    <w:rsid w:val="0004349A"/>
    <w:rsid w:val="00045829"/>
    <w:rsid w:val="00052CFE"/>
    <w:rsid w:val="00063909"/>
    <w:rsid w:val="000735B8"/>
    <w:rsid w:val="000A3618"/>
    <w:rsid w:val="000C216E"/>
    <w:rsid w:val="000C27EE"/>
    <w:rsid w:val="000D2836"/>
    <w:rsid w:val="000E40D8"/>
    <w:rsid w:val="000F0F33"/>
    <w:rsid w:val="000F5618"/>
    <w:rsid w:val="001130ED"/>
    <w:rsid w:val="00121D3B"/>
    <w:rsid w:val="00127AEE"/>
    <w:rsid w:val="001324F3"/>
    <w:rsid w:val="00135B20"/>
    <w:rsid w:val="00146851"/>
    <w:rsid w:val="0015640D"/>
    <w:rsid w:val="001760A6"/>
    <w:rsid w:val="00181A5B"/>
    <w:rsid w:val="0019720A"/>
    <w:rsid w:val="001D6D35"/>
    <w:rsid w:val="001E18AE"/>
    <w:rsid w:val="00206404"/>
    <w:rsid w:val="0021297D"/>
    <w:rsid w:val="00217284"/>
    <w:rsid w:val="0025655E"/>
    <w:rsid w:val="00292887"/>
    <w:rsid w:val="002C4A7A"/>
    <w:rsid w:val="002C4A95"/>
    <w:rsid w:val="002D54EC"/>
    <w:rsid w:val="002E0469"/>
    <w:rsid w:val="00337410"/>
    <w:rsid w:val="003440F4"/>
    <w:rsid w:val="0035501D"/>
    <w:rsid w:val="00367BF2"/>
    <w:rsid w:val="003737EA"/>
    <w:rsid w:val="00380473"/>
    <w:rsid w:val="003A1A88"/>
    <w:rsid w:val="003A35BB"/>
    <w:rsid w:val="003C1E71"/>
    <w:rsid w:val="003E5B1D"/>
    <w:rsid w:val="004035AA"/>
    <w:rsid w:val="0040696D"/>
    <w:rsid w:val="00422505"/>
    <w:rsid w:val="00423603"/>
    <w:rsid w:val="0044138E"/>
    <w:rsid w:val="004572D4"/>
    <w:rsid w:val="004B1423"/>
    <w:rsid w:val="004B7070"/>
    <w:rsid w:val="004C7995"/>
    <w:rsid w:val="004F79D7"/>
    <w:rsid w:val="00512DED"/>
    <w:rsid w:val="0052406E"/>
    <w:rsid w:val="00532C7A"/>
    <w:rsid w:val="005374DA"/>
    <w:rsid w:val="00547D6F"/>
    <w:rsid w:val="0056405B"/>
    <w:rsid w:val="00585C2C"/>
    <w:rsid w:val="00591BA1"/>
    <w:rsid w:val="0059524F"/>
    <w:rsid w:val="00597F9E"/>
    <w:rsid w:val="005A49E6"/>
    <w:rsid w:val="005B1619"/>
    <w:rsid w:val="005B4380"/>
    <w:rsid w:val="005B75F7"/>
    <w:rsid w:val="005E2D9B"/>
    <w:rsid w:val="00603BEC"/>
    <w:rsid w:val="00612F81"/>
    <w:rsid w:val="00676D88"/>
    <w:rsid w:val="006911EF"/>
    <w:rsid w:val="006946F3"/>
    <w:rsid w:val="006D01CB"/>
    <w:rsid w:val="006E1F07"/>
    <w:rsid w:val="006F093B"/>
    <w:rsid w:val="006F17B9"/>
    <w:rsid w:val="0072447E"/>
    <w:rsid w:val="007314B2"/>
    <w:rsid w:val="0073344C"/>
    <w:rsid w:val="00735BD0"/>
    <w:rsid w:val="00741C26"/>
    <w:rsid w:val="00755957"/>
    <w:rsid w:val="00771E3F"/>
    <w:rsid w:val="007B5F5A"/>
    <w:rsid w:val="007C70BD"/>
    <w:rsid w:val="007E03D3"/>
    <w:rsid w:val="00800B3E"/>
    <w:rsid w:val="00816746"/>
    <w:rsid w:val="0084705C"/>
    <w:rsid w:val="0086163E"/>
    <w:rsid w:val="008712DF"/>
    <w:rsid w:val="0088164F"/>
    <w:rsid w:val="008A0054"/>
    <w:rsid w:val="008C2A18"/>
    <w:rsid w:val="008C71F1"/>
    <w:rsid w:val="008D31FA"/>
    <w:rsid w:val="008D684B"/>
    <w:rsid w:val="008F2CBA"/>
    <w:rsid w:val="0091448C"/>
    <w:rsid w:val="00931834"/>
    <w:rsid w:val="00953D8D"/>
    <w:rsid w:val="0096365F"/>
    <w:rsid w:val="009752D1"/>
    <w:rsid w:val="009754D0"/>
    <w:rsid w:val="00976861"/>
    <w:rsid w:val="009A76FC"/>
    <w:rsid w:val="009B2137"/>
    <w:rsid w:val="009B381C"/>
    <w:rsid w:val="009C347E"/>
    <w:rsid w:val="009D65E0"/>
    <w:rsid w:val="009F501A"/>
    <w:rsid w:val="00A62986"/>
    <w:rsid w:val="00AA2D1B"/>
    <w:rsid w:val="00AA7615"/>
    <w:rsid w:val="00AB24F0"/>
    <w:rsid w:val="00AC069E"/>
    <w:rsid w:val="00AC3C7F"/>
    <w:rsid w:val="00AC56FF"/>
    <w:rsid w:val="00AF5406"/>
    <w:rsid w:val="00B141D1"/>
    <w:rsid w:val="00B2607E"/>
    <w:rsid w:val="00B62F4F"/>
    <w:rsid w:val="00B64B32"/>
    <w:rsid w:val="00B949F2"/>
    <w:rsid w:val="00B97C94"/>
    <w:rsid w:val="00BA37F9"/>
    <w:rsid w:val="00BB1A75"/>
    <w:rsid w:val="00BB557F"/>
    <w:rsid w:val="00BC7402"/>
    <w:rsid w:val="00BD4066"/>
    <w:rsid w:val="00BD4E6A"/>
    <w:rsid w:val="00BE67B1"/>
    <w:rsid w:val="00C27AF6"/>
    <w:rsid w:val="00C36E94"/>
    <w:rsid w:val="00C43763"/>
    <w:rsid w:val="00C441F9"/>
    <w:rsid w:val="00C9637B"/>
    <w:rsid w:val="00C96F13"/>
    <w:rsid w:val="00CD45AF"/>
    <w:rsid w:val="00CE56D6"/>
    <w:rsid w:val="00CF683F"/>
    <w:rsid w:val="00D00A00"/>
    <w:rsid w:val="00D017CD"/>
    <w:rsid w:val="00D031F7"/>
    <w:rsid w:val="00D17003"/>
    <w:rsid w:val="00D271FC"/>
    <w:rsid w:val="00D272F5"/>
    <w:rsid w:val="00D41564"/>
    <w:rsid w:val="00D55B0F"/>
    <w:rsid w:val="00D6417E"/>
    <w:rsid w:val="00DA1EA6"/>
    <w:rsid w:val="00DA49AB"/>
    <w:rsid w:val="00DB0177"/>
    <w:rsid w:val="00DB3EBE"/>
    <w:rsid w:val="00DB400A"/>
    <w:rsid w:val="00DE24FD"/>
    <w:rsid w:val="00DE28E2"/>
    <w:rsid w:val="00DE5876"/>
    <w:rsid w:val="00E02F5A"/>
    <w:rsid w:val="00E075AE"/>
    <w:rsid w:val="00E176E1"/>
    <w:rsid w:val="00E46016"/>
    <w:rsid w:val="00E701B0"/>
    <w:rsid w:val="00E8175A"/>
    <w:rsid w:val="00EA0C67"/>
    <w:rsid w:val="00EC0979"/>
    <w:rsid w:val="00ED4BE2"/>
    <w:rsid w:val="00EF10EF"/>
    <w:rsid w:val="00F07552"/>
    <w:rsid w:val="00F2799B"/>
    <w:rsid w:val="00F30221"/>
    <w:rsid w:val="00F33EA0"/>
    <w:rsid w:val="00F55089"/>
    <w:rsid w:val="00F609D0"/>
    <w:rsid w:val="00FA5139"/>
    <w:rsid w:val="00FB1D8F"/>
    <w:rsid w:val="00FC59F9"/>
    <w:rsid w:val="00FC6E73"/>
    <w:rsid w:val="00FD2049"/>
    <w:rsid w:val="00FE62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589A"/>
  <w15:chartTrackingRefBased/>
  <w15:docId w15:val="{3BACDEB3-D573-4E8B-B4AB-9DF0934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C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C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C27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C27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C27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C27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27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C27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27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7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C27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C27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C27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C27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C27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C27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C27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C27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C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27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C27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27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C27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27EE"/>
    <w:rPr>
      <w:i/>
      <w:iCs/>
      <w:color w:val="404040" w:themeColor="text1" w:themeTint="BF"/>
    </w:rPr>
  </w:style>
  <w:style w:type="paragraph" w:styleId="Paragrafoelenco">
    <w:name w:val="List Paragraph"/>
    <w:basedOn w:val="Normale"/>
    <w:uiPriority w:val="34"/>
    <w:qFormat/>
    <w:rsid w:val="000C27EE"/>
    <w:pPr>
      <w:ind w:left="720"/>
      <w:contextualSpacing/>
    </w:pPr>
  </w:style>
  <w:style w:type="character" w:styleId="Enfasiintensa">
    <w:name w:val="Intense Emphasis"/>
    <w:basedOn w:val="Carpredefinitoparagrafo"/>
    <w:uiPriority w:val="21"/>
    <w:qFormat/>
    <w:rsid w:val="000C27EE"/>
    <w:rPr>
      <w:i/>
      <w:iCs/>
      <w:color w:val="0F4761" w:themeColor="accent1" w:themeShade="BF"/>
    </w:rPr>
  </w:style>
  <w:style w:type="paragraph" w:styleId="Citazioneintensa">
    <w:name w:val="Intense Quote"/>
    <w:basedOn w:val="Normale"/>
    <w:next w:val="Normale"/>
    <w:link w:val="CitazioneintensaCarattere"/>
    <w:uiPriority w:val="30"/>
    <w:qFormat/>
    <w:rsid w:val="000C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C27EE"/>
    <w:rPr>
      <w:i/>
      <w:iCs/>
      <w:color w:val="0F4761" w:themeColor="accent1" w:themeShade="BF"/>
    </w:rPr>
  </w:style>
  <w:style w:type="character" w:styleId="Riferimentointenso">
    <w:name w:val="Intense Reference"/>
    <w:basedOn w:val="Carpredefinitoparagrafo"/>
    <w:uiPriority w:val="32"/>
    <w:qFormat/>
    <w:rsid w:val="000C27EE"/>
    <w:rPr>
      <w:b/>
      <w:bCs/>
      <w:smallCaps/>
      <w:color w:val="0F4761" w:themeColor="accent1" w:themeShade="BF"/>
      <w:spacing w:val="5"/>
    </w:rPr>
  </w:style>
  <w:style w:type="character" w:styleId="Collegamentoipertestuale">
    <w:name w:val="Hyperlink"/>
    <w:basedOn w:val="Carpredefinitoparagrafo"/>
    <w:uiPriority w:val="99"/>
    <w:unhideWhenUsed/>
    <w:rsid w:val="006E1F07"/>
    <w:rPr>
      <w:color w:val="467886" w:themeColor="hyperlink"/>
      <w:u w:val="single"/>
    </w:rPr>
  </w:style>
  <w:style w:type="character" w:styleId="Menzionenonrisolta">
    <w:name w:val="Unresolved Mention"/>
    <w:basedOn w:val="Carpredefinitoparagrafo"/>
    <w:uiPriority w:val="99"/>
    <w:semiHidden/>
    <w:unhideWhenUsed/>
    <w:rsid w:val="006E1F07"/>
    <w:rPr>
      <w:color w:val="605E5C"/>
      <w:shd w:val="clear" w:color="auto" w:fill="E1DFDD"/>
    </w:rPr>
  </w:style>
  <w:style w:type="paragraph" w:styleId="Testonotaapidipagina">
    <w:name w:val="footnote text"/>
    <w:basedOn w:val="Normale"/>
    <w:link w:val="TestonotaapidipaginaCarattere"/>
    <w:uiPriority w:val="99"/>
    <w:semiHidden/>
    <w:unhideWhenUsed/>
    <w:rsid w:val="005240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2406E"/>
    <w:rPr>
      <w:sz w:val="20"/>
      <w:szCs w:val="20"/>
    </w:rPr>
  </w:style>
  <w:style w:type="character" w:styleId="Rimandonotaapidipagina">
    <w:name w:val="footnote reference"/>
    <w:basedOn w:val="Carpredefinitoparagrafo"/>
    <w:uiPriority w:val="99"/>
    <w:semiHidden/>
    <w:unhideWhenUsed/>
    <w:rsid w:val="0052406E"/>
    <w:rPr>
      <w:vertAlign w:val="superscript"/>
    </w:rPr>
  </w:style>
  <w:style w:type="paragraph" w:styleId="Revisione">
    <w:name w:val="Revision"/>
    <w:hidden/>
    <w:uiPriority w:val="99"/>
    <w:semiHidden/>
    <w:rsid w:val="000D2836"/>
    <w:pPr>
      <w:spacing w:after="0" w:line="240" w:lineRule="auto"/>
    </w:pPr>
  </w:style>
  <w:style w:type="character" w:styleId="Rimandocommento">
    <w:name w:val="annotation reference"/>
    <w:basedOn w:val="Carpredefinitoparagrafo"/>
    <w:uiPriority w:val="99"/>
    <w:semiHidden/>
    <w:unhideWhenUsed/>
    <w:rsid w:val="0059524F"/>
    <w:rPr>
      <w:sz w:val="16"/>
      <w:szCs w:val="16"/>
    </w:rPr>
  </w:style>
  <w:style w:type="paragraph" w:styleId="Testocommento">
    <w:name w:val="annotation text"/>
    <w:basedOn w:val="Normale"/>
    <w:link w:val="TestocommentoCarattere"/>
    <w:uiPriority w:val="99"/>
    <w:unhideWhenUsed/>
    <w:rsid w:val="0059524F"/>
    <w:pPr>
      <w:spacing w:line="240" w:lineRule="auto"/>
    </w:pPr>
    <w:rPr>
      <w:sz w:val="20"/>
      <w:szCs w:val="20"/>
    </w:rPr>
  </w:style>
  <w:style w:type="character" w:customStyle="1" w:styleId="TestocommentoCarattere">
    <w:name w:val="Testo commento Carattere"/>
    <w:basedOn w:val="Carpredefinitoparagrafo"/>
    <w:link w:val="Testocommento"/>
    <w:uiPriority w:val="99"/>
    <w:rsid w:val="0059524F"/>
    <w:rPr>
      <w:sz w:val="20"/>
      <w:szCs w:val="20"/>
    </w:rPr>
  </w:style>
  <w:style w:type="paragraph" w:styleId="Soggettocommento">
    <w:name w:val="annotation subject"/>
    <w:basedOn w:val="Testocommento"/>
    <w:next w:val="Testocommento"/>
    <w:link w:val="SoggettocommentoCarattere"/>
    <w:uiPriority w:val="99"/>
    <w:semiHidden/>
    <w:unhideWhenUsed/>
    <w:rsid w:val="0059524F"/>
    <w:rPr>
      <w:b/>
      <w:bCs/>
    </w:rPr>
  </w:style>
  <w:style w:type="character" w:customStyle="1" w:styleId="SoggettocommentoCarattere">
    <w:name w:val="Soggetto commento Carattere"/>
    <w:basedOn w:val="TestocommentoCarattere"/>
    <w:link w:val="Soggettocommento"/>
    <w:uiPriority w:val="99"/>
    <w:semiHidden/>
    <w:rsid w:val="00595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031">
      <w:bodyDiv w:val="1"/>
      <w:marLeft w:val="0"/>
      <w:marRight w:val="0"/>
      <w:marTop w:val="0"/>
      <w:marBottom w:val="0"/>
      <w:divBdr>
        <w:top w:val="none" w:sz="0" w:space="0" w:color="auto"/>
        <w:left w:val="none" w:sz="0" w:space="0" w:color="auto"/>
        <w:bottom w:val="none" w:sz="0" w:space="0" w:color="auto"/>
        <w:right w:val="none" w:sz="0" w:space="0" w:color="auto"/>
      </w:divBdr>
    </w:div>
    <w:div w:id="132603972">
      <w:bodyDiv w:val="1"/>
      <w:marLeft w:val="0"/>
      <w:marRight w:val="0"/>
      <w:marTop w:val="0"/>
      <w:marBottom w:val="0"/>
      <w:divBdr>
        <w:top w:val="none" w:sz="0" w:space="0" w:color="auto"/>
        <w:left w:val="none" w:sz="0" w:space="0" w:color="auto"/>
        <w:bottom w:val="none" w:sz="0" w:space="0" w:color="auto"/>
        <w:right w:val="none" w:sz="0" w:space="0" w:color="auto"/>
      </w:divBdr>
      <w:divsChild>
        <w:div w:id="978463731">
          <w:marLeft w:val="0"/>
          <w:marRight w:val="0"/>
          <w:marTop w:val="0"/>
          <w:marBottom w:val="0"/>
          <w:divBdr>
            <w:top w:val="none" w:sz="0" w:space="0" w:color="auto"/>
            <w:left w:val="none" w:sz="0" w:space="0" w:color="auto"/>
            <w:bottom w:val="none" w:sz="0" w:space="0" w:color="auto"/>
            <w:right w:val="none" w:sz="0" w:space="0" w:color="auto"/>
          </w:divBdr>
        </w:div>
        <w:div w:id="642085059">
          <w:marLeft w:val="0"/>
          <w:marRight w:val="0"/>
          <w:marTop w:val="0"/>
          <w:marBottom w:val="0"/>
          <w:divBdr>
            <w:top w:val="none" w:sz="0" w:space="0" w:color="auto"/>
            <w:left w:val="none" w:sz="0" w:space="0" w:color="auto"/>
            <w:bottom w:val="none" w:sz="0" w:space="0" w:color="auto"/>
            <w:right w:val="none" w:sz="0" w:space="0" w:color="auto"/>
          </w:divBdr>
        </w:div>
      </w:divsChild>
    </w:div>
    <w:div w:id="366413946">
      <w:bodyDiv w:val="1"/>
      <w:marLeft w:val="0"/>
      <w:marRight w:val="0"/>
      <w:marTop w:val="0"/>
      <w:marBottom w:val="0"/>
      <w:divBdr>
        <w:top w:val="none" w:sz="0" w:space="0" w:color="auto"/>
        <w:left w:val="none" w:sz="0" w:space="0" w:color="auto"/>
        <w:bottom w:val="none" w:sz="0" w:space="0" w:color="auto"/>
        <w:right w:val="none" w:sz="0" w:space="0" w:color="auto"/>
      </w:divBdr>
    </w:div>
    <w:div w:id="444888884">
      <w:bodyDiv w:val="1"/>
      <w:marLeft w:val="0"/>
      <w:marRight w:val="0"/>
      <w:marTop w:val="0"/>
      <w:marBottom w:val="0"/>
      <w:divBdr>
        <w:top w:val="none" w:sz="0" w:space="0" w:color="auto"/>
        <w:left w:val="none" w:sz="0" w:space="0" w:color="auto"/>
        <w:bottom w:val="none" w:sz="0" w:space="0" w:color="auto"/>
        <w:right w:val="none" w:sz="0" w:space="0" w:color="auto"/>
      </w:divBdr>
    </w:div>
    <w:div w:id="465006054">
      <w:bodyDiv w:val="1"/>
      <w:marLeft w:val="0"/>
      <w:marRight w:val="0"/>
      <w:marTop w:val="0"/>
      <w:marBottom w:val="0"/>
      <w:divBdr>
        <w:top w:val="none" w:sz="0" w:space="0" w:color="auto"/>
        <w:left w:val="none" w:sz="0" w:space="0" w:color="auto"/>
        <w:bottom w:val="none" w:sz="0" w:space="0" w:color="auto"/>
        <w:right w:val="none" w:sz="0" w:space="0" w:color="auto"/>
      </w:divBdr>
    </w:div>
    <w:div w:id="495262771">
      <w:bodyDiv w:val="1"/>
      <w:marLeft w:val="0"/>
      <w:marRight w:val="0"/>
      <w:marTop w:val="0"/>
      <w:marBottom w:val="0"/>
      <w:divBdr>
        <w:top w:val="none" w:sz="0" w:space="0" w:color="auto"/>
        <w:left w:val="none" w:sz="0" w:space="0" w:color="auto"/>
        <w:bottom w:val="none" w:sz="0" w:space="0" w:color="auto"/>
        <w:right w:val="none" w:sz="0" w:space="0" w:color="auto"/>
      </w:divBdr>
    </w:div>
    <w:div w:id="615139102">
      <w:bodyDiv w:val="1"/>
      <w:marLeft w:val="0"/>
      <w:marRight w:val="0"/>
      <w:marTop w:val="0"/>
      <w:marBottom w:val="0"/>
      <w:divBdr>
        <w:top w:val="none" w:sz="0" w:space="0" w:color="auto"/>
        <w:left w:val="none" w:sz="0" w:space="0" w:color="auto"/>
        <w:bottom w:val="none" w:sz="0" w:space="0" w:color="auto"/>
        <w:right w:val="none" w:sz="0" w:space="0" w:color="auto"/>
      </w:divBdr>
      <w:divsChild>
        <w:div w:id="554394237">
          <w:marLeft w:val="0"/>
          <w:marRight w:val="0"/>
          <w:marTop w:val="0"/>
          <w:marBottom w:val="0"/>
          <w:divBdr>
            <w:top w:val="none" w:sz="0" w:space="0" w:color="auto"/>
            <w:left w:val="none" w:sz="0" w:space="0" w:color="auto"/>
            <w:bottom w:val="none" w:sz="0" w:space="0" w:color="auto"/>
            <w:right w:val="none" w:sz="0" w:space="0" w:color="auto"/>
          </w:divBdr>
        </w:div>
        <w:div w:id="60644653">
          <w:marLeft w:val="0"/>
          <w:marRight w:val="0"/>
          <w:marTop w:val="0"/>
          <w:marBottom w:val="0"/>
          <w:divBdr>
            <w:top w:val="none" w:sz="0" w:space="0" w:color="auto"/>
            <w:left w:val="none" w:sz="0" w:space="0" w:color="auto"/>
            <w:bottom w:val="none" w:sz="0" w:space="0" w:color="auto"/>
            <w:right w:val="none" w:sz="0" w:space="0" w:color="auto"/>
          </w:divBdr>
        </w:div>
      </w:divsChild>
    </w:div>
    <w:div w:id="655497723">
      <w:bodyDiv w:val="1"/>
      <w:marLeft w:val="0"/>
      <w:marRight w:val="0"/>
      <w:marTop w:val="0"/>
      <w:marBottom w:val="0"/>
      <w:divBdr>
        <w:top w:val="none" w:sz="0" w:space="0" w:color="auto"/>
        <w:left w:val="none" w:sz="0" w:space="0" w:color="auto"/>
        <w:bottom w:val="none" w:sz="0" w:space="0" w:color="auto"/>
        <w:right w:val="none" w:sz="0" w:space="0" w:color="auto"/>
      </w:divBdr>
    </w:div>
    <w:div w:id="1063261335">
      <w:bodyDiv w:val="1"/>
      <w:marLeft w:val="0"/>
      <w:marRight w:val="0"/>
      <w:marTop w:val="0"/>
      <w:marBottom w:val="0"/>
      <w:divBdr>
        <w:top w:val="none" w:sz="0" w:space="0" w:color="auto"/>
        <w:left w:val="none" w:sz="0" w:space="0" w:color="auto"/>
        <w:bottom w:val="none" w:sz="0" w:space="0" w:color="auto"/>
        <w:right w:val="none" w:sz="0" w:space="0" w:color="auto"/>
      </w:divBdr>
    </w:div>
    <w:div w:id="1127548201">
      <w:bodyDiv w:val="1"/>
      <w:marLeft w:val="0"/>
      <w:marRight w:val="0"/>
      <w:marTop w:val="0"/>
      <w:marBottom w:val="0"/>
      <w:divBdr>
        <w:top w:val="none" w:sz="0" w:space="0" w:color="auto"/>
        <w:left w:val="none" w:sz="0" w:space="0" w:color="auto"/>
        <w:bottom w:val="none" w:sz="0" w:space="0" w:color="auto"/>
        <w:right w:val="none" w:sz="0" w:space="0" w:color="auto"/>
      </w:divBdr>
    </w:div>
    <w:div w:id="1567956969">
      <w:bodyDiv w:val="1"/>
      <w:marLeft w:val="0"/>
      <w:marRight w:val="0"/>
      <w:marTop w:val="0"/>
      <w:marBottom w:val="0"/>
      <w:divBdr>
        <w:top w:val="none" w:sz="0" w:space="0" w:color="auto"/>
        <w:left w:val="none" w:sz="0" w:space="0" w:color="auto"/>
        <w:bottom w:val="none" w:sz="0" w:space="0" w:color="auto"/>
        <w:right w:val="none" w:sz="0" w:space="0" w:color="auto"/>
      </w:divBdr>
    </w:div>
    <w:div w:id="1717240412">
      <w:bodyDiv w:val="1"/>
      <w:marLeft w:val="0"/>
      <w:marRight w:val="0"/>
      <w:marTop w:val="0"/>
      <w:marBottom w:val="0"/>
      <w:divBdr>
        <w:top w:val="none" w:sz="0" w:space="0" w:color="auto"/>
        <w:left w:val="none" w:sz="0" w:space="0" w:color="auto"/>
        <w:bottom w:val="none" w:sz="0" w:space="0" w:color="auto"/>
        <w:right w:val="none" w:sz="0" w:space="0" w:color="auto"/>
      </w:divBdr>
    </w:div>
    <w:div w:id="2055763909">
      <w:bodyDiv w:val="1"/>
      <w:marLeft w:val="0"/>
      <w:marRight w:val="0"/>
      <w:marTop w:val="0"/>
      <w:marBottom w:val="0"/>
      <w:divBdr>
        <w:top w:val="none" w:sz="0" w:space="0" w:color="auto"/>
        <w:left w:val="none" w:sz="0" w:space="0" w:color="auto"/>
        <w:bottom w:val="none" w:sz="0" w:space="0" w:color="auto"/>
        <w:right w:val="none" w:sz="0" w:space="0" w:color="auto"/>
      </w:divBdr>
    </w:div>
    <w:div w:id="20942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vph-institut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rtualhumantwins.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ph-institute.org/upload/clinical-survey-finallowres-dm_644a78543a7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502F-F105-4514-ABAD-ADCD83BA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1490</Words>
  <Characters>8496</Characters>
  <Application>Microsoft Office Word</Application>
  <DocSecurity>0</DocSecurity>
  <Lines>70</Lines>
  <Paragraphs>19</Paragraphs>
  <ScaleCrop>false</ScaleCrop>
  <Company>KU Leuven</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 Geris</dc:creator>
  <cp:keywords/>
  <dc:description/>
  <cp:lastModifiedBy>Martina Contin</cp:lastModifiedBy>
  <cp:revision>3</cp:revision>
  <dcterms:created xsi:type="dcterms:W3CDTF">2025-08-13T10:45:00Z</dcterms:created>
  <dcterms:modified xsi:type="dcterms:W3CDTF">2025-08-13T12:33:00Z</dcterms:modified>
</cp:coreProperties>
</file>